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765D" w14:textId="5C8D9490" w:rsidR="00FF1C7A" w:rsidRPr="009076A6" w:rsidRDefault="009076A6" w:rsidP="00F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9076A6">
        <w:rPr>
          <w:rFonts w:ascii="Arial" w:eastAsia="Times New Roman" w:hAnsi="Arial" w:cs="Arial"/>
          <w:bCs/>
          <w:lang w:eastAsia="en-GB"/>
        </w:rPr>
        <w:t>For immediate release</w:t>
      </w:r>
    </w:p>
    <w:p w14:paraId="168E2B30" w14:textId="77777777" w:rsidR="00FF1C7A" w:rsidRPr="00FF1C7A" w:rsidRDefault="00FF1C7A" w:rsidP="00F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2D557C28" w14:textId="519FA28E" w:rsidR="001F1E73" w:rsidRDefault="001F1E73" w:rsidP="00305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Annual ‘</w:t>
      </w:r>
      <w:r w:rsidR="00B229C2">
        <w:rPr>
          <w:rFonts w:ascii="Arial" w:eastAsia="Times New Roman" w:hAnsi="Arial" w:cs="Arial"/>
          <w:b/>
          <w:sz w:val="28"/>
          <w:szCs w:val="28"/>
          <w:lang w:eastAsia="en-GB"/>
        </w:rPr>
        <w:t>A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ltnet’ report reveals vital role </w:t>
      </w:r>
    </w:p>
    <w:p w14:paraId="417B46C0" w14:textId="28C875A1" w:rsidR="00401D35" w:rsidRDefault="001F1E73" w:rsidP="00305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of competition to UK digital transformation</w:t>
      </w:r>
    </w:p>
    <w:p w14:paraId="0DF82DEC" w14:textId="3BD074C4" w:rsidR="00445474" w:rsidRPr="00214DA4" w:rsidRDefault="00445474" w:rsidP="00305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43A682F1" w14:textId="4B3ED464" w:rsidR="001F1E73" w:rsidRDefault="00214DA4" w:rsidP="00305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25% coverage in rural areas by </w:t>
      </w:r>
      <w:r w:rsidR="007577CD">
        <w:rPr>
          <w:rFonts w:ascii="Arial" w:eastAsia="Times New Roman" w:hAnsi="Arial" w:cs="Arial"/>
          <w:i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ltnets should convince Ofcom to </w:t>
      </w:r>
    </w:p>
    <w:p w14:paraId="7B979E58" w14:textId="3480937A" w:rsidR="00A61587" w:rsidRDefault="00214DA4" w:rsidP="00305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include ‘Area 3’ in its analysis of Equinox 2 pricing enquiry</w:t>
      </w:r>
      <w:r w:rsidR="001F1E73">
        <w:rPr>
          <w:rFonts w:ascii="Arial" w:eastAsia="Times New Roman" w:hAnsi="Arial" w:cs="Arial"/>
          <w:i/>
          <w:sz w:val="20"/>
          <w:szCs w:val="20"/>
          <w:lang w:eastAsia="en-GB"/>
        </w:rPr>
        <w:t>, says INCA</w:t>
      </w:r>
    </w:p>
    <w:p w14:paraId="794E3E86" w14:textId="77777777" w:rsidR="00A61587" w:rsidRPr="0005746D" w:rsidRDefault="00A61587" w:rsidP="00305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76CB0215" w14:textId="25C116C1" w:rsidR="00FF1C7A" w:rsidRDefault="00FF1C7A" w:rsidP="003050C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benefits of competition in the UK’s broadband sector have been starkly illustrated by the latest annual review from the </w:t>
      </w:r>
      <w:r w:rsidR="004768EA">
        <w:rPr>
          <w:rFonts w:ascii="Arial" w:hAnsi="Arial" w:cs="Arial"/>
          <w:bCs/>
        </w:rPr>
        <w:t xml:space="preserve">altnet </w:t>
      </w:r>
      <w:r>
        <w:rPr>
          <w:rFonts w:ascii="Arial" w:hAnsi="Arial" w:cs="Arial"/>
          <w:bCs/>
        </w:rPr>
        <w:t xml:space="preserve">representative body, INCA, which has been published today. </w:t>
      </w:r>
    </w:p>
    <w:p w14:paraId="24B4850E" w14:textId="77777777" w:rsidR="004768EA" w:rsidRDefault="004768EA" w:rsidP="003050CD">
      <w:pPr>
        <w:spacing w:after="0" w:line="360" w:lineRule="auto"/>
        <w:rPr>
          <w:rFonts w:ascii="Arial" w:hAnsi="Arial" w:cs="Arial"/>
          <w:bCs/>
        </w:rPr>
      </w:pPr>
    </w:p>
    <w:p w14:paraId="48548B0F" w14:textId="012B7A72" w:rsidR="00195733" w:rsidRDefault="00CF371C" w:rsidP="004768EA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4768EA">
        <w:rPr>
          <w:rFonts w:ascii="Arial" w:hAnsi="Arial" w:cs="Arial"/>
          <w:bCs/>
        </w:rPr>
        <w:t xml:space="preserve">rivate investment continued to flow into the independent network sector over the past year </w:t>
      </w:r>
      <w:r>
        <w:rPr>
          <w:rFonts w:ascii="Arial" w:hAnsi="Arial" w:cs="Arial"/>
          <w:bCs/>
        </w:rPr>
        <w:t>despite the challenging economic conditions and increasing interest rates. P</w:t>
      </w:r>
      <w:r w:rsidR="004768EA" w:rsidRPr="004768EA">
        <w:rPr>
          <w:rFonts w:ascii="Arial" w:hAnsi="Arial" w:cs="Arial"/>
          <w:bCs/>
        </w:rPr>
        <w:t xml:space="preserve">lanned investment </w:t>
      </w:r>
      <w:r>
        <w:rPr>
          <w:rFonts w:ascii="Arial" w:hAnsi="Arial" w:cs="Arial"/>
          <w:bCs/>
        </w:rPr>
        <w:t xml:space="preserve">to 2030 has </w:t>
      </w:r>
      <w:r w:rsidR="004768EA">
        <w:rPr>
          <w:rFonts w:ascii="Arial" w:hAnsi="Arial" w:cs="Arial"/>
          <w:bCs/>
        </w:rPr>
        <w:t>increas</w:t>
      </w:r>
      <w:r>
        <w:rPr>
          <w:rFonts w:ascii="Arial" w:hAnsi="Arial" w:cs="Arial"/>
          <w:bCs/>
        </w:rPr>
        <w:t>ed</w:t>
      </w:r>
      <w:r w:rsidR="004768EA">
        <w:rPr>
          <w:rFonts w:ascii="Arial" w:hAnsi="Arial" w:cs="Arial"/>
          <w:bCs/>
        </w:rPr>
        <w:t xml:space="preserve"> </w:t>
      </w:r>
      <w:r w:rsidR="004768EA" w:rsidRPr="004768EA">
        <w:rPr>
          <w:rFonts w:ascii="Arial" w:hAnsi="Arial" w:cs="Arial"/>
          <w:bCs/>
        </w:rPr>
        <w:t>to £24bn. This is more investment than BT Group and V</w:t>
      </w:r>
      <w:r w:rsidR="00195733">
        <w:rPr>
          <w:rFonts w:ascii="Arial" w:hAnsi="Arial" w:cs="Arial"/>
          <w:bCs/>
        </w:rPr>
        <w:t xml:space="preserve">irgin </w:t>
      </w:r>
      <w:r w:rsidR="004768EA" w:rsidRPr="004768EA">
        <w:rPr>
          <w:rFonts w:ascii="Arial" w:hAnsi="Arial" w:cs="Arial"/>
          <w:bCs/>
        </w:rPr>
        <w:t>M</w:t>
      </w:r>
      <w:r w:rsidR="00195733">
        <w:rPr>
          <w:rFonts w:ascii="Arial" w:hAnsi="Arial" w:cs="Arial"/>
          <w:bCs/>
        </w:rPr>
        <w:t xml:space="preserve">edia/ </w:t>
      </w:r>
      <w:r w:rsidR="004768EA" w:rsidRPr="004768EA">
        <w:rPr>
          <w:rFonts w:ascii="Arial" w:hAnsi="Arial" w:cs="Arial"/>
          <w:bCs/>
        </w:rPr>
        <w:t xml:space="preserve">O2 combined, whose own investments </w:t>
      </w:r>
      <w:r w:rsidR="002239AE">
        <w:rPr>
          <w:rFonts w:ascii="Arial" w:hAnsi="Arial" w:cs="Arial"/>
          <w:bCs/>
        </w:rPr>
        <w:t xml:space="preserve">and deployments </w:t>
      </w:r>
      <w:r w:rsidR="004768EA" w:rsidRPr="004768EA">
        <w:rPr>
          <w:rFonts w:ascii="Arial" w:hAnsi="Arial" w:cs="Arial"/>
          <w:bCs/>
        </w:rPr>
        <w:t xml:space="preserve">have been spurred on by </w:t>
      </w:r>
      <w:r w:rsidR="00195733">
        <w:rPr>
          <w:rFonts w:ascii="Arial" w:hAnsi="Arial" w:cs="Arial"/>
          <w:bCs/>
        </w:rPr>
        <w:t xml:space="preserve">competition from the </w:t>
      </w:r>
      <w:r w:rsidR="007577CD">
        <w:rPr>
          <w:rFonts w:ascii="Arial" w:hAnsi="Arial" w:cs="Arial"/>
          <w:bCs/>
        </w:rPr>
        <w:t>Altnets</w:t>
      </w:r>
      <w:r w:rsidR="00195733">
        <w:rPr>
          <w:rFonts w:ascii="Arial" w:hAnsi="Arial" w:cs="Arial"/>
          <w:bCs/>
        </w:rPr>
        <w:t xml:space="preserve">. </w:t>
      </w:r>
      <w:r w:rsidR="00D31415">
        <w:rPr>
          <w:rFonts w:ascii="Arial" w:hAnsi="Arial" w:cs="Arial"/>
          <w:bCs/>
        </w:rPr>
        <w:t xml:space="preserve">Taken altogether, </w:t>
      </w:r>
      <w:r w:rsidR="00D31415" w:rsidRPr="00D31415">
        <w:rPr>
          <w:rFonts w:ascii="Arial" w:hAnsi="Arial" w:cs="Arial"/>
          <w:bCs/>
        </w:rPr>
        <w:t xml:space="preserve">planned full fibre investment until 2030 </w:t>
      </w:r>
      <w:r w:rsidR="00D31415">
        <w:rPr>
          <w:rFonts w:ascii="Arial" w:hAnsi="Arial" w:cs="Arial"/>
          <w:bCs/>
        </w:rPr>
        <w:t xml:space="preserve">is only beaten by </w:t>
      </w:r>
      <w:r w:rsidR="00D31415" w:rsidRPr="00D31415">
        <w:rPr>
          <w:rFonts w:ascii="Arial" w:hAnsi="Arial" w:cs="Arial"/>
          <w:bCs/>
        </w:rPr>
        <w:t>HS2</w:t>
      </w:r>
      <w:r w:rsidR="00D31415">
        <w:rPr>
          <w:rFonts w:ascii="Arial" w:hAnsi="Arial" w:cs="Arial"/>
          <w:bCs/>
        </w:rPr>
        <w:t xml:space="preserve"> as the UK’s biggest infrastructure investment programme. </w:t>
      </w:r>
    </w:p>
    <w:p w14:paraId="761F3ED1" w14:textId="77777777" w:rsidR="004768EA" w:rsidRDefault="004768EA" w:rsidP="003050CD">
      <w:pPr>
        <w:spacing w:after="0" w:line="360" w:lineRule="auto"/>
        <w:rPr>
          <w:rFonts w:ascii="Arial" w:hAnsi="Arial" w:cs="Arial"/>
          <w:bCs/>
        </w:rPr>
      </w:pPr>
    </w:p>
    <w:p w14:paraId="2A1EE397" w14:textId="3210F9DB" w:rsidR="00186C76" w:rsidRPr="00186C76" w:rsidRDefault="00186C76" w:rsidP="00186C76">
      <w:pPr>
        <w:spacing w:after="0" w:line="360" w:lineRule="auto"/>
        <w:rPr>
          <w:rFonts w:ascii="Arial" w:hAnsi="Arial" w:cs="Arial"/>
          <w:bCs/>
        </w:rPr>
      </w:pPr>
      <w:r w:rsidRPr="00186C76">
        <w:rPr>
          <w:rFonts w:ascii="Arial" w:hAnsi="Arial" w:cs="Arial"/>
          <w:bCs/>
        </w:rPr>
        <w:t>“Recent comments by the BT Group CEO indicate that the incumbent operator is feel</w:t>
      </w:r>
      <w:r w:rsidR="002239AE">
        <w:rPr>
          <w:rFonts w:ascii="Arial" w:hAnsi="Arial" w:cs="Arial"/>
          <w:bCs/>
        </w:rPr>
        <w:t>ing</w:t>
      </w:r>
      <w:r w:rsidRPr="00186C76">
        <w:rPr>
          <w:rFonts w:ascii="Arial" w:hAnsi="Arial" w:cs="Arial"/>
          <w:bCs/>
        </w:rPr>
        <w:t xml:space="preserve"> the challenge from independent providers”, said INCA Chair Tim Stranack. “It’s vital that the regulator provide</w:t>
      </w:r>
      <w:r w:rsidR="002239AE">
        <w:rPr>
          <w:rFonts w:ascii="Arial" w:hAnsi="Arial" w:cs="Arial"/>
          <w:bCs/>
        </w:rPr>
        <w:t>s</w:t>
      </w:r>
      <w:r w:rsidRPr="00186C76">
        <w:rPr>
          <w:rFonts w:ascii="Arial" w:hAnsi="Arial" w:cs="Arial"/>
          <w:bCs/>
        </w:rPr>
        <w:t xml:space="preserve"> an environment in which infrastructure competition can flourish</w:t>
      </w:r>
      <w:r w:rsidR="002239AE">
        <w:rPr>
          <w:rFonts w:ascii="Arial" w:hAnsi="Arial" w:cs="Arial"/>
          <w:bCs/>
        </w:rPr>
        <w:t xml:space="preserve"> in order to</w:t>
      </w:r>
      <w:r w:rsidR="000F0442">
        <w:rPr>
          <w:rFonts w:ascii="Arial" w:hAnsi="Arial" w:cs="Arial"/>
          <w:bCs/>
        </w:rPr>
        <w:t xml:space="preserve"> make</w:t>
      </w:r>
      <w:r w:rsidR="00CF371C">
        <w:rPr>
          <w:rFonts w:ascii="Arial" w:hAnsi="Arial" w:cs="Arial"/>
          <w:bCs/>
        </w:rPr>
        <w:t xml:space="preserve"> full fibre </w:t>
      </w:r>
      <w:r w:rsidR="000F0442">
        <w:rPr>
          <w:rFonts w:ascii="Arial" w:hAnsi="Arial" w:cs="Arial"/>
          <w:bCs/>
        </w:rPr>
        <w:t xml:space="preserve">available </w:t>
      </w:r>
      <w:r w:rsidR="00CF371C">
        <w:rPr>
          <w:rFonts w:ascii="Arial" w:hAnsi="Arial" w:cs="Arial"/>
          <w:bCs/>
        </w:rPr>
        <w:t xml:space="preserve">to </w:t>
      </w:r>
      <w:r w:rsidR="000F0442">
        <w:rPr>
          <w:rFonts w:ascii="Arial" w:hAnsi="Arial" w:cs="Arial"/>
          <w:bCs/>
        </w:rPr>
        <w:t xml:space="preserve">more </w:t>
      </w:r>
      <w:r w:rsidR="00CF371C">
        <w:rPr>
          <w:rFonts w:ascii="Arial" w:hAnsi="Arial" w:cs="Arial"/>
          <w:bCs/>
        </w:rPr>
        <w:t>UK consumers and</w:t>
      </w:r>
      <w:r w:rsidR="000F0442">
        <w:rPr>
          <w:rFonts w:ascii="Arial" w:hAnsi="Arial" w:cs="Arial"/>
          <w:bCs/>
        </w:rPr>
        <w:t xml:space="preserve"> also deliver upon the strategic priorities set by government to Ofcom</w:t>
      </w:r>
      <w:r w:rsidRPr="00186C76">
        <w:rPr>
          <w:rFonts w:ascii="Arial" w:hAnsi="Arial" w:cs="Arial"/>
          <w:bCs/>
        </w:rPr>
        <w:t xml:space="preserve">”, he continued. </w:t>
      </w:r>
    </w:p>
    <w:p w14:paraId="481D60FF" w14:textId="77777777" w:rsidR="00186C76" w:rsidRDefault="00186C76" w:rsidP="003050CD">
      <w:pPr>
        <w:spacing w:after="0" w:line="360" w:lineRule="auto"/>
        <w:rPr>
          <w:rFonts w:ascii="Arial" w:hAnsi="Arial" w:cs="Arial"/>
          <w:bCs/>
        </w:rPr>
      </w:pPr>
    </w:p>
    <w:p w14:paraId="5EBAA8CE" w14:textId="5DC8370C" w:rsidR="00C64D72" w:rsidRDefault="00195733" w:rsidP="003050C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report reveals that approximately 25% of the UK is now able to receive full fibre broadband from an independent supplier</w:t>
      </w:r>
      <w:r w:rsidR="000F0442">
        <w:rPr>
          <w:rFonts w:ascii="Arial" w:hAnsi="Arial" w:cs="Arial"/>
          <w:bCs/>
        </w:rPr>
        <w:t>,</w:t>
      </w:r>
      <w:r w:rsidR="00033BE3">
        <w:rPr>
          <w:rFonts w:ascii="Arial" w:hAnsi="Arial" w:cs="Arial"/>
          <w:bCs/>
        </w:rPr>
        <w:t xml:space="preserve"> with over 2m properties in </w:t>
      </w:r>
      <w:r w:rsidR="00033BE3" w:rsidRPr="00033BE3">
        <w:rPr>
          <w:rFonts w:ascii="Arial" w:hAnsi="Arial" w:cs="Arial"/>
          <w:bCs/>
        </w:rPr>
        <w:t>harder-to-reach rural areas</w:t>
      </w:r>
      <w:r w:rsidR="00033BE3">
        <w:rPr>
          <w:rFonts w:ascii="Arial" w:hAnsi="Arial" w:cs="Arial"/>
          <w:bCs/>
        </w:rPr>
        <w:t xml:space="preserve"> now </w:t>
      </w:r>
      <w:r w:rsidR="002239AE">
        <w:rPr>
          <w:rFonts w:ascii="Arial" w:hAnsi="Arial" w:cs="Arial"/>
          <w:bCs/>
        </w:rPr>
        <w:t xml:space="preserve">also </w:t>
      </w:r>
      <w:r w:rsidR="00033BE3">
        <w:rPr>
          <w:rFonts w:ascii="Arial" w:hAnsi="Arial" w:cs="Arial"/>
          <w:bCs/>
        </w:rPr>
        <w:t xml:space="preserve">being passed by altnet fibre networks, something Ofcom assumed was not possible in its </w:t>
      </w:r>
      <w:r w:rsidR="00033BE3" w:rsidRPr="00033BE3">
        <w:rPr>
          <w:rFonts w:ascii="Arial" w:hAnsi="Arial" w:cs="Arial"/>
          <w:bCs/>
        </w:rPr>
        <w:t>last market review</w:t>
      </w:r>
      <w:r w:rsidR="00033BE3">
        <w:rPr>
          <w:rFonts w:ascii="Arial" w:hAnsi="Arial" w:cs="Arial"/>
          <w:bCs/>
        </w:rPr>
        <w:t xml:space="preserve">. </w:t>
      </w:r>
      <w:r w:rsidR="00C64D72">
        <w:rPr>
          <w:rFonts w:ascii="Arial" w:hAnsi="Arial" w:cs="Arial"/>
          <w:bCs/>
        </w:rPr>
        <w:t xml:space="preserve">INCA believes this evidence should </w:t>
      </w:r>
      <w:r w:rsidR="00C64D72" w:rsidRPr="00C64D72">
        <w:rPr>
          <w:rFonts w:ascii="Arial" w:hAnsi="Arial" w:cs="Arial"/>
          <w:bCs/>
        </w:rPr>
        <w:t xml:space="preserve">convince </w:t>
      </w:r>
      <w:r w:rsidR="00C64D72">
        <w:rPr>
          <w:rFonts w:ascii="Arial" w:hAnsi="Arial" w:cs="Arial"/>
          <w:bCs/>
        </w:rPr>
        <w:t xml:space="preserve">the regulator </w:t>
      </w:r>
      <w:r w:rsidR="00C64D72" w:rsidRPr="00C64D72">
        <w:rPr>
          <w:rFonts w:ascii="Arial" w:hAnsi="Arial" w:cs="Arial"/>
          <w:bCs/>
        </w:rPr>
        <w:t>to include an impact analysis o</w:t>
      </w:r>
      <w:r w:rsidR="00602A3A">
        <w:rPr>
          <w:rFonts w:ascii="Arial" w:hAnsi="Arial" w:cs="Arial"/>
          <w:bCs/>
        </w:rPr>
        <w:t>f</w:t>
      </w:r>
      <w:r w:rsidR="00C64D72" w:rsidRPr="00C64D72">
        <w:rPr>
          <w:rFonts w:ascii="Arial" w:hAnsi="Arial" w:cs="Arial"/>
          <w:bCs/>
        </w:rPr>
        <w:t xml:space="preserve"> </w:t>
      </w:r>
      <w:r w:rsidR="00602A3A">
        <w:rPr>
          <w:rFonts w:ascii="Arial" w:hAnsi="Arial" w:cs="Arial"/>
          <w:bCs/>
        </w:rPr>
        <w:t xml:space="preserve">the UK’s harder to reach areas, described by Ofcom as </w:t>
      </w:r>
      <w:r w:rsidR="00C64D72" w:rsidRPr="00C64D72">
        <w:rPr>
          <w:rFonts w:ascii="Arial" w:hAnsi="Arial" w:cs="Arial"/>
          <w:bCs/>
        </w:rPr>
        <w:t>Area 3</w:t>
      </w:r>
      <w:r w:rsidR="00602A3A">
        <w:rPr>
          <w:rFonts w:ascii="Arial" w:hAnsi="Arial" w:cs="Arial"/>
          <w:bCs/>
        </w:rPr>
        <w:t>,</w:t>
      </w:r>
      <w:r w:rsidR="00C64D72" w:rsidRPr="00C64D72">
        <w:rPr>
          <w:rFonts w:ascii="Arial" w:hAnsi="Arial" w:cs="Arial"/>
          <w:bCs/>
        </w:rPr>
        <w:t xml:space="preserve"> in its final decision</w:t>
      </w:r>
      <w:r w:rsidR="00C64D72">
        <w:rPr>
          <w:rFonts w:ascii="Arial" w:hAnsi="Arial" w:cs="Arial"/>
          <w:bCs/>
        </w:rPr>
        <w:t xml:space="preserve"> on Openreach’s Equinox 2 pricing proposal. </w:t>
      </w:r>
    </w:p>
    <w:p w14:paraId="5B67C2A8" w14:textId="77777777" w:rsidR="00C64D72" w:rsidRDefault="00C64D72" w:rsidP="003050CD">
      <w:pPr>
        <w:spacing w:after="0" w:line="360" w:lineRule="auto"/>
        <w:rPr>
          <w:rFonts w:ascii="Arial" w:hAnsi="Arial" w:cs="Arial"/>
          <w:bCs/>
        </w:rPr>
      </w:pPr>
    </w:p>
    <w:p w14:paraId="56F5407E" w14:textId="11539EED" w:rsidR="00C64D72" w:rsidRDefault="00C64D72" w:rsidP="003050C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Pr="00C64D72">
        <w:rPr>
          <w:rFonts w:ascii="Arial" w:hAnsi="Arial" w:cs="Arial"/>
          <w:bCs/>
        </w:rPr>
        <w:t xml:space="preserve">As this year’s survey results </w:t>
      </w:r>
      <w:r>
        <w:rPr>
          <w:rFonts w:ascii="Arial" w:hAnsi="Arial" w:cs="Arial"/>
          <w:bCs/>
        </w:rPr>
        <w:t xml:space="preserve">clearly </w:t>
      </w:r>
      <w:r w:rsidRPr="00C64D72">
        <w:rPr>
          <w:rFonts w:ascii="Arial" w:hAnsi="Arial" w:cs="Arial"/>
          <w:bCs/>
        </w:rPr>
        <w:t xml:space="preserve">show, Ofcom </w:t>
      </w:r>
      <w:r w:rsidR="00E62FEA">
        <w:rPr>
          <w:rFonts w:ascii="Arial" w:hAnsi="Arial" w:cs="Arial"/>
          <w:bCs/>
        </w:rPr>
        <w:t xml:space="preserve">must </w:t>
      </w:r>
      <w:r w:rsidRPr="00C64D72">
        <w:rPr>
          <w:rFonts w:ascii="Arial" w:hAnsi="Arial" w:cs="Arial"/>
          <w:bCs/>
        </w:rPr>
        <w:t>assess the potential impact of Equinox 2 on Area 3</w:t>
      </w:r>
      <w:r>
        <w:rPr>
          <w:rFonts w:ascii="Arial" w:hAnsi="Arial" w:cs="Arial"/>
          <w:bCs/>
        </w:rPr>
        <w:t>”, INCA CEO Malcolm Corbett said. “Equinox 2 is a</w:t>
      </w:r>
      <w:r w:rsidRPr="00C64D72">
        <w:rPr>
          <w:rFonts w:ascii="Arial" w:hAnsi="Arial" w:cs="Arial"/>
          <w:bCs/>
        </w:rPr>
        <w:t xml:space="preserve"> live and pressing concern</w:t>
      </w:r>
      <w:r w:rsidR="00E62FEA">
        <w:rPr>
          <w:rFonts w:ascii="Arial" w:hAnsi="Arial" w:cs="Arial"/>
          <w:bCs/>
        </w:rPr>
        <w:t xml:space="preserve">. It has </w:t>
      </w:r>
      <w:r>
        <w:rPr>
          <w:rFonts w:ascii="Arial" w:hAnsi="Arial" w:cs="Arial"/>
          <w:bCs/>
        </w:rPr>
        <w:t xml:space="preserve">the potential to </w:t>
      </w:r>
      <w:r w:rsidRPr="00C64D72">
        <w:rPr>
          <w:rFonts w:ascii="Arial" w:hAnsi="Arial" w:cs="Arial"/>
          <w:bCs/>
        </w:rPr>
        <w:t>unfairly foreclose the wholesale market</w:t>
      </w:r>
      <w:r w:rsidR="000F0442">
        <w:rPr>
          <w:rFonts w:ascii="Arial" w:hAnsi="Arial" w:cs="Arial"/>
          <w:bCs/>
        </w:rPr>
        <w:t>,</w:t>
      </w:r>
      <w:r w:rsidR="002239AE">
        <w:rPr>
          <w:rFonts w:ascii="Arial" w:hAnsi="Arial" w:cs="Arial"/>
          <w:bCs/>
        </w:rPr>
        <w:t xml:space="preserve"> including</w:t>
      </w:r>
      <w:r w:rsidRPr="00C64D72">
        <w:rPr>
          <w:rFonts w:ascii="Arial" w:hAnsi="Arial" w:cs="Arial"/>
          <w:bCs/>
        </w:rPr>
        <w:t xml:space="preserve"> in areas where Ofcom mistakenly thought only Openreach</w:t>
      </w:r>
      <w:r w:rsidR="002239AE">
        <w:rPr>
          <w:rFonts w:ascii="Arial" w:hAnsi="Arial" w:cs="Arial"/>
          <w:bCs/>
        </w:rPr>
        <w:t xml:space="preserve"> might </w:t>
      </w:r>
      <w:r w:rsidRPr="00C64D72">
        <w:rPr>
          <w:rFonts w:ascii="Arial" w:hAnsi="Arial" w:cs="Arial"/>
          <w:bCs/>
        </w:rPr>
        <w:t>get to</w:t>
      </w:r>
      <w:r w:rsidR="002239A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but where it is </w:t>
      </w:r>
      <w:r w:rsidR="00E62FEA">
        <w:rPr>
          <w:rFonts w:ascii="Arial" w:hAnsi="Arial" w:cs="Arial"/>
          <w:bCs/>
        </w:rPr>
        <w:t xml:space="preserve">abundantly </w:t>
      </w:r>
      <w:r>
        <w:rPr>
          <w:rFonts w:ascii="Arial" w:hAnsi="Arial" w:cs="Arial"/>
          <w:bCs/>
        </w:rPr>
        <w:t xml:space="preserve">clear that </w:t>
      </w:r>
      <w:r w:rsidR="007577C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ltnets are investing significantly and </w:t>
      </w:r>
      <w:r w:rsidR="00E62FEA">
        <w:rPr>
          <w:rFonts w:ascii="Arial" w:hAnsi="Arial" w:cs="Arial"/>
          <w:bCs/>
        </w:rPr>
        <w:t xml:space="preserve">where they are </w:t>
      </w:r>
      <w:r>
        <w:rPr>
          <w:rFonts w:ascii="Arial" w:hAnsi="Arial" w:cs="Arial"/>
          <w:bCs/>
        </w:rPr>
        <w:t xml:space="preserve">already </w:t>
      </w:r>
      <w:r w:rsidR="000F0442">
        <w:rPr>
          <w:rFonts w:ascii="Arial" w:hAnsi="Arial" w:cs="Arial"/>
          <w:bCs/>
        </w:rPr>
        <w:t>making</w:t>
      </w:r>
      <w:r>
        <w:rPr>
          <w:rFonts w:ascii="Arial" w:hAnsi="Arial" w:cs="Arial"/>
          <w:bCs/>
        </w:rPr>
        <w:t xml:space="preserve"> full fibre </w:t>
      </w:r>
      <w:r>
        <w:rPr>
          <w:rFonts w:ascii="Arial" w:hAnsi="Arial" w:cs="Arial"/>
          <w:bCs/>
        </w:rPr>
        <w:lastRenderedPageBreak/>
        <w:t>broadband services</w:t>
      </w:r>
      <w:r w:rsidR="00E62FEA">
        <w:rPr>
          <w:rFonts w:ascii="Arial" w:hAnsi="Arial" w:cs="Arial"/>
          <w:bCs/>
        </w:rPr>
        <w:t xml:space="preserve"> </w:t>
      </w:r>
      <w:r w:rsidR="007577CD">
        <w:rPr>
          <w:rFonts w:ascii="Arial" w:hAnsi="Arial" w:cs="Arial"/>
          <w:bCs/>
        </w:rPr>
        <w:t xml:space="preserve">available </w:t>
      </w:r>
      <w:r w:rsidR="00E62FEA">
        <w:rPr>
          <w:rFonts w:ascii="Arial" w:hAnsi="Arial" w:cs="Arial"/>
          <w:bCs/>
        </w:rPr>
        <w:t>to millions of people</w:t>
      </w:r>
      <w:r>
        <w:rPr>
          <w:rFonts w:ascii="Arial" w:hAnsi="Arial" w:cs="Arial"/>
          <w:bCs/>
        </w:rPr>
        <w:t>.</w:t>
      </w:r>
      <w:r w:rsidR="002239AE">
        <w:rPr>
          <w:rFonts w:ascii="Arial" w:hAnsi="Arial" w:cs="Arial"/>
          <w:bCs/>
        </w:rPr>
        <w:t xml:space="preserve"> Ofcom must not put this investment at risk and jeopardise the digital transformation of </w:t>
      </w:r>
      <w:r w:rsidR="00602A3A">
        <w:rPr>
          <w:rFonts w:ascii="Arial" w:hAnsi="Arial" w:cs="Arial"/>
          <w:bCs/>
        </w:rPr>
        <w:t>small towns and rural areas in the UK.</w:t>
      </w:r>
      <w:r>
        <w:rPr>
          <w:rFonts w:ascii="Arial" w:hAnsi="Arial" w:cs="Arial"/>
          <w:bCs/>
        </w:rPr>
        <w:t xml:space="preserve">” </w:t>
      </w:r>
    </w:p>
    <w:p w14:paraId="43227D5C" w14:textId="77777777" w:rsidR="00C64D72" w:rsidRDefault="00C64D72" w:rsidP="003050CD">
      <w:pPr>
        <w:spacing w:after="0" w:line="360" w:lineRule="auto"/>
        <w:rPr>
          <w:rFonts w:ascii="Arial" w:hAnsi="Arial" w:cs="Arial"/>
          <w:bCs/>
        </w:rPr>
      </w:pPr>
    </w:p>
    <w:p w14:paraId="6E3B4A31" w14:textId="7DA19A51" w:rsidR="00D31415" w:rsidRDefault="00D31415" w:rsidP="00D31415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Key insights from the 2023 report include:</w:t>
      </w:r>
    </w:p>
    <w:p w14:paraId="05E1A0B0" w14:textId="627E4F0D" w:rsidR="00D31415" w:rsidRDefault="00D31415" w:rsidP="00D3141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D31415">
        <w:rPr>
          <w:rFonts w:ascii="Arial" w:hAnsi="Arial" w:cs="Arial"/>
          <w:bCs/>
        </w:rPr>
        <w:t xml:space="preserve">Altnet operators </w:t>
      </w:r>
      <w:r>
        <w:rPr>
          <w:rFonts w:ascii="Arial" w:hAnsi="Arial" w:cs="Arial"/>
          <w:bCs/>
        </w:rPr>
        <w:t xml:space="preserve">had passed </w:t>
      </w:r>
      <w:r w:rsidRPr="00D31415">
        <w:rPr>
          <w:rFonts w:ascii="Arial" w:hAnsi="Arial" w:cs="Arial"/>
          <w:bCs/>
        </w:rPr>
        <w:t xml:space="preserve">8.2 million premises with fibre </w:t>
      </w:r>
      <w:r>
        <w:rPr>
          <w:rFonts w:ascii="Arial" w:hAnsi="Arial" w:cs="Arial"/>
          <w:bCs/>
        </w:rPr>
        <w:t xml:space="preserve">by the </w:t>
      </w:r>
      <w:r w:rsidRPr="00D31415">
        <w:rPr>
          <w:rFonts w:ascii="Arial" w:hAnsi="Arial" w:cs="Arial"/>
          <w:bCs/>
        </w:rPr>
        <w:t>end</w:t>
      </w:r>
      <w:r>
        <w:rPr>
          <w:rFonts w:ascii="Arial" w:hAnsi="Arial" w:cs="Arial"/>
          <w:bCs/>
        </w:rPr>
        <w:t xml:space="preserve"> of 2</w:t>
      </w:r>
      <w:r w:rsidRPr="00D31415">
        <w:rPr>
          <w:rFonts w:ascii="Arial" w:hAnsi="Arial" w:cs="Arial"/>
          <w:bCs/>
        </w:rPr>
        <w:t>022. This is approximately 25% of UK premises</w:t>
      </w:r>
    </w:p>
    <w:p w14:paraId="7EB05289" w14:textId="5EEF619D" w:rsidR="00D31415" w:rsidRPr="00D31415" w:rsidRDefault="00D31415" w:rsidP="00D3141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D31415">
        <w:rPr>
          <w:rFonts w:ascii="Arial" w:hAnsi="Arial" w:cs="Arial"/>
          <w:bCs/>
        </w:rPr>
        <w:t xml:space="preserve">2.3 million of these premises were in Area 3, meaning that </w:t>
      </w:r>
      <w:r w:rsidR="007577CD">
        <w:rPr>
          <w:rFonts w:ascii="Arial" w:hAnsi="Arial" w:cs="Arial"/>
          <w:bCs/>
        </w:rPr>
        <w:t>A</w:t>
      </w:r>
      <w:r w:rsidR="007577CD" w:rsidRPr="00D31415">
        <w:rPr>
          <w:rFonts w:ascii="Arial" w:hAnsi="Arial" w:cs="Arial"/>
          <w:bCs/>
        </w:rPr>
        <w:t xml:space="preserve">ltnets </w:t>
      </w:r>
      <w:r w:rsidRPr="00D31415">
        <w:rPr>
          <w:rFonts w:ascii="Arial" w:hAnsi="Arial" w:cs="Arial"/>
          <w:bCs/>
        </w:rPr>
        <w:t>have delivered full fibre connectivity to a quarter of UK premises in hard-to-reach areas</w:t>
      </w:r>
    </w:p>
    <w:p w14:paraId="4CC484CB" w14:textId="73DA0B15" w:rsidR="00D31415" w:rsidRPr="00D31415" w:rsidRDefault="00D31415" w:rsidP="00D3141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D31415">
        <w:rPr>
          <w:rFonts w:ascii="Arial" w:hAnsi="Arial" w:cs="Arial"/>
          <w:bCs/>
        </w:rPr>
        <w:t>There are 1.5 million live connections (48% growth year-on-year) to independent fixed networks provided by full fibre gigabit capable connections</w:t>
      </w:r>
    </w:p>
    <w:p w14:paraId="2402410A" w14:textId="09786E89" w:rsidR="00D31415" w:rsidRPr="00D31415" w:rsidRDefault="00D31415" w:rsidP="00D3141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D31415">
        <w:rPr>
          <w:rFonts w:ascii="Arial" w:hAnsi="Arial" w:cs="Arial"/>
          <w:bCs/>
        </w:rPr>
        <w:t>Investment and expenditure in the independent network sector continued throughout 2022 with an estimated additional £6 billion having been committed to network expansions and operations during the year</w:t>
      </w:r>
    </w:p>
    <w:p w14:paraId="1AF902F0" w14:textId="20809EDA" w:rsidR="00D31415" w:rsidRPr="00D31415" w:rsidRDefault="00D31415" w:rsidP="007F36E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D31415">
        <w:rPr>
          <w:rFonts w:ascii="Arial" w:hAnsi="Arial" w:cs="Arial"/>
          <w:bCs/>
        </w:rPr>
        <w:t xml:space="preserve">Estimated planned CAPEX spend by </w:t>
      </w:r>
      <w:r w:rsidR="007577CD">
        <w:rPr>
          <w:rFonts w:ascii="Arial" w:hAnsi="Arial" w:cs="Arial"/>
          <w:bCs/>
        </w:rPr>
        <w:t>A</w:t>
      </w:r>
      <w:r w:rsidR="007577CD" w:rsidRPr="00D31415">
        <w:rPr>
          <w:rFonts w:ascii="Arial" w:hAnsi="Arial" w:cs="Arial"/>
          <w:bCs/>
        </w:rPr>
        <w:t xml:space="preserve">ltnets </w:t>
      </w:r>
      <w:r w:rsidRPr="00D31415">
        <w:rPr>
          <w:rFonts w:ascii="Arial" w:hAnsi="Arial" w:cs="Arial"/>
          <w:bCs/>
        </w:rPr>
        <w:t>until the end of 2030 at over £24.2 billion is higher than that of BT Group’s (Openreach) £15 billion and Nexfibre’s (a joint venture between Liberty Global, Telefónica and InfraVia Capital Partners) £4.5 billion combined.</w:t>
      </w:r>
    </w:p>
    <w:p w14:paraId="7EB2E9E7" w14:textId="77777777" w:rsidR="00D31415" w:rsidRDefault="00D31415" w:rsidP="00D31415">
      <w:pPr>
        <w:spacing w:after="0" w:line="360" w:lineRule="auto"/>
        <w:rPr>
          <w:rFonts w:ascii="Arial" w:hAnsi="Arial" w:cs="Arial"/>
          <w:bCs/>
        </w:rPr>
      </w:pPr>
    </w:p>
    <w:p w14:paraId="0AA6BDAC" w14:textId="3AB25227" w:rsidR="009076A6" w:rsidRDefault="002C3EC7" w:rsidP="00D314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the </w:t>
      </w:r>
      <w:r w:rsidR="00C03284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r</w:t>
      </w:r>
      <w:r w:rsidR="00C03284">
        <w:rPr>
          <w:rFonts w:ascii="Arial" w:hAnsi="Arial" w:cs="Arial"/>
        </w:rPr>
        <w:t xml:space="preserve">eport </w:t>
      </w:r>
      <w:r>
        <w:rPr>
          <w:rFonts w:ascii="Arial" w:hAnsi="Arial" w:cs="Arial"/>
        </w:rPr>
        <w:t xml:space="preserve">here </w:t>
      </w:r>
      <w:r w:rsidR="00D31415">
        <w:rPr>
          <w:rFonts w:ascii="Arial" w:hAnsi="Arial" w:cs="Arial"/>
        </w:rPr>
        <w:t xml:space="preserve">– </w:t>
      </w:r>
      <w:hyperlink r:id="rId8" w:history="1">
        <w:r w:rsidR="009076A6" w:rsidRPr="00604BC1">
          <w:rPr>
            <w:rStyle w:val="Hyperlink"/>
            <w:rFonts w:ascii="Arial" w:hAnsi="Arial" w:cs="Arial"/>
          </w:rPr>
          <w:t>https://www.inca.coop/sites/default/files/inca_metrics_report_2023.pdf</w:t>
        </w:r>
      </w:hyperlink>
      <w:r w:rsidR="009076A6">
        <w:rPr>
          <w:rFonts w:ascii="Arial" w:hAnsi="Arial" w:cs="Arial"/>
        </w:rPr>
        <w:t xml:space="preserve">. </w:t>
      </w:r>
    </w:p>
    <w:p w14:paraId="50E07A43" w14:textId="77777777" w:rsidR="009076A6" w:rsidRDefault="009076A6" w:rsidP="00086A39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0" w:name="_Hlk3384088"/>
    </w:p>
    <w:p w14:paraId="7060D121" w14:textId="0F15C2D7" w:rsidR="00086A39" w:rsidRPr="009076A6" w:rsidRDefault="00086A39" w:rsidP="00086A39">
      <w:pPr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9076A6">
        <w:rPr>
          <w:rFonts w:ascii="Arial" w:eastAsia="Calibri" w:hAnsi="Arial" w:cs="Arial"/>
          <w:b/>
          <w:sz w:val="20"/>
          <w:szCs w:val="20"/>
        </w:rPr>
        <w:t xml:space="preserve">Notes to editors </w:t>
      </w:r>
    </w:p>
    <w:p w14:paraId="2F6506DA" w14:textId="4B7D8E9B" w:rsidR="00192E6E" w:rsidRPr="009076A6" w:rsidRDefault="00FC57A4" w:rsidP="00192E6E">
      <w:pPr>
        <w:spacing w:after="0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9076A6">
        <w:rPr>
          <w:rFonts w:ascii="Arial" w:eastAsia="Calibri" w:hAnsi="Arial" w:cs="Arial"/>
          <w:b/>
          <w:sz w:val="20"/>
          <w:szCs w:val="20"/>
        </w:rPr>
        <w:t>About the report</w:t>
      </w:r>
    </w:p>
    <w:p w14:paraId="7E0EED56" w14:textId="3EB77EA6" w:rsidR="00FC57A4" w:rsidRDefault="00FC57A4" w:rsidP="00FC57A4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9076A6">
        <w:rPr>
          <w:rFonts w:ascii="Arial" w:eastAsia="Calibri" w:hAnsi="Arial" w:cs="Arial"/>
          <w:bCs/>
          <w:sz w:val="20"/>
          <w:szCs w:val="20"/>
        </w:rPr>
        <w:t xml:space="preserve">The annual ‘Metrics for the UK independent network sector’, report has been produced in partnership between the </w:t>
      </w:r>
      <w:hyperlink r:id="rId9" w:history="1">
        <w:r w:rsidR="009076A6">
          <w:rPr>
            <w:rStyle w:val="Hyperlink"/>
            <w:rFonts w:ascii="Arial" w:eastAsia="Calibri" w:hAnsi="Arial" w:cs="Arial"/>
            <w:bCs/>
            <w:sz w:val="20"/>
            <w:szCs w:val="20"/>
          </w:rPr>
          <w:t>INCA</w:t>
        </w:r>
      </w:hyperlink>
      <w:r w:rsidRPr="009076A6">
        <w:rPr>
          <w:rFonts w:ascii="Arial" w:eastAsia="Calibri" w:hAnsi="Arial" w:cs="Arial"/>
          <w:bCs/>
          <w:sz w:val="20"/>
          <w:szCs w:val="20"/>
        </w:rPr>
        <w:t xml:space="preserve"> and broadband market intelligence specialists </w:t>
      </w:r>
      <w:hyperlink r:id="rId10" w:history="1">
        <w:r w:rsidRPr="009076A6">
          <w:rPr>
            <w:rStyle w:val="Hyperlink"/>
            <w:rFonts w:ascii="Arial" w:eastAsia="Calibri" w:hAnsi="Arial" w:cs="Arial"/>
            <w:bCs/>
            <w:sz w:val="20"/>
            <w:szCs w:val="20"/>
          </w:rPr>
          <w:t>Point Topic</w:t>
        </w:r>
      </w:hyperlink>
      <w:r w:rsidRPr="009076A6">
        <w:rPr>
          <w:rFonts w:ascii="Arial" w:eastAsia="Calibri" w:hAnsi="Arial" w:cs="Arial"/>
          <w:bCs/>
          <w:sz w:val="20"/>
          <w:szCs w:val="20"/>
        </w:rPr>
        <w:t xml:space="preserve">, drawing on input from both INCA members and non-members. It provides an overview of the UK’s independent network operator sector as of end-2022 and early 2023 in terms of scale, coverage, ambitions, and concerns. As in the previous three years, it includes both fixed and fixed wireless network operators. </w:t>
      </w:r>
    </w:p>
    <w:p w14:paraId="71B38582" w14:textId="77777777" w:rsidR="009076A6" w:rsidRPr="009076A6" w:rsidRDefault="009076A6" w:rsidP="00FC57A4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</w:p>
    <w:p w14:paraId="0D927AFE" w14:textId="41A7B483" w:rsidR="009076A6" w:rsidRPr="009076A6" w:rsidRDefault="009076A6" w:rsidP="009076A6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  <w:lang w:val="fr-FR"/>
        </w:rPr>
      </w:pPr>
      <w:r w:rsidRPr="009076A6"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PR contact 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- </w:t>
      </w:r>
      <w:r w:rsidRPr="009076A6">
        <w:rPr>
          <w:rFonts w:ascii="Arial" w:eastAsia="Calibri" w:hAnsi="Arial" w:cs="Arial"/>
          <w:bCs/>
          <w:sz w:val="20"/>
          <w:szCs w:val="20"/>
          <w:lang w:val="fr-FR"/>
        </w:rPr>
        <w:t xml:space="preserve">Proactive International PR. </w:t>
      </w:r>
      <w:hyperlink r:id="rId11" w:history="1">
        <w:r w:rsidRPr="009076A6">
          <w:rPr>
            <w:rStyle w:val="Hyperlink"/>
            <w:rFonts w:ascii="Arial" w:eastAsia="Calibri" w:hAnsi="Arial" w:cs="Arial"/>
            <w:bCs/>
            <w:sz w:val="20"/>
            <w:szCs w:val="20"/>
            <w:lang w:val="fr-FR"/>
          </w:rPr>
          <w:t>inca@proactive-pr.com</w:t>
        </w:r>
      </w:hyperlink>
      <w:r w:rsidRPr="009076A6">
        <w:rPr>
          <w:rFonts w:ascii="Arial" w:eastAsia="Calibri" w:hAnsi="Arial" w:cs="Arial"/>
          <w:bCs/>
          <w:sz w:val="20"/>
          <w:szCs w:val="20"/>
          <w:lang w:val="fr-FR"/>
        </w:rPr>
        <w:t xml:space="preserve"> or 07824 152 086.</w:t>
      </w:r>
    </w:p>
    <w:p w14:paraId="284C6CED" w14:textId="77777777" w:rsidR="00FC57A4" w:rsidRDefault="00FC57A4" w:rsidP="00192E6E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</w:p>
    <w:p w14:paraId="0949FFC3" w14:textId="01407880" w:rsidR="00086A39" w:rsidRDefault="00086A39" w:rsidP="00192E6E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1A3680">
        <w:rPr>
          <w:rFonts w:ascii="Arial" w:eastAsia="Calibri" w:hAnsi="Arial" w:cs="Arial"/>
          <w:b/>
          <w:sz w:val="20"/>
          <w:szCs w:val="20"/>
        </w:rPr>
        <w:t>About INCA</w:t>
      </w:r>
    </w:p>
    <w:p w14:paraId="34C82EFD" w14:textId="2CC98596" w:rsidR="0025681E" w:rsidRPr="0025681E" w:rsidRDefault="0025681E" w:rsidP="00192E6E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25681E">
        <w:rPr>
          <w:rFonts w:ascii="Arial" w:eastAsia="Calibri" w:hAnsi="Arial" w:cs="Arial"/>
          <w:bCs/>
          <w:sz w:val="20"/>
          <w:szCs w:val="20"/>
        </w:rPr>
        <w:t xml:space="preserve">The Independent Networks Co-operative Association (INCA) was established in 2010 as a co-operative trade association for next generation broadband services. INCA brings together the most innovative thinkers in the independent alternative network sector, creating new digital infrastructure in the UK and Ireland. </w:t>
      </w:r>
      <w:bookmarkStart w:id="1" w:name="_Hlk52890764"/>
      <w:r w:rsidRPr="0025681E">
        <w:rPr>
          <w:rFonts w:ascii="Arial" w:eastAsia="Calibri" w:hAnsi="Arial" w:cs="Arial"/>
          <w:bCs/>
          <w:sz w:val="20"/>
          <w:szCs w:val="20"/>
        </w:rPr>
        <w:t xml:space="preserve">For more information about INCA, please visit: </w:t>
      </w:r>
      <w:hyperlink r:id="rId12" w:history="1">
        <w:r w:rsidR="00192E6E" w:rsidRPr="00977AB5">
          <w:rPr>
            <w:rStyle w:val="Hyperlink"/>
            <w:rFonts w:ascii="Arial" w:eastAsia="Calibri" w:hAnsi="Arial" w:cs="Arial"/>
            <w:bCs/>
            <w:sz w:val="20"/>
            <w:szCs w:val="20"/>
          </w:rPr>
          <w:t>https://www.inca.coop/</w:t>
        </w:r>
      </w:hyperlink>
    </w:p>
    <w:bookmarkEnd w:id="1"/>
    <w:p w14:paraId="215B666C" w14:textId="77777777" w:rsidR="0025681E" w:rsidRPr="0025681E" w:rsidRDefault="0025681E" w:rsidP="00192E6E">
      <w:pPr>
        <w:spacing w:after="0"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</w:p>
    <w:bookmarkEnd w:id="0"/>
    <w:p w14:paraId="50B23F18" w14:textId="77777777" w:rsidR="005B07A5" w:rsidRPr="004F1528" w:rsidRDefault="005B07A5" w:rsidP="00192E6E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</w:rPr>
      </w:pPr>
      <w:r w:rsidRPr="004F1528">
        <w:rPr>
          <w:rFonts w:ascii="Arial" w:eastAsia="Calibri" w:hAnsi="Arial" w:cs="Arial"/>
          <w:b/>
          <w:sz w:val="20"/>
        </w:rPr>
        <w:t xml:space="preserve">About Point Topic </w:t>
      </w:r>
    </w:p>
    <w:p w14:paraId="612B63AE" w14:textId="77777777" w:rsidR="005B07A5" w:rsidRPr="004F1528" w:rsidRDefault="005B07A5" w:rsidP="00192E6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</w:rPr>
      </w:pPr>
      <w:r w:rsidRPr="004F1528">
        <w:rPr>
          <w:rFonts w:ascii="Arial" w:eastAsia="Times New Roman" w:hAnsi="Arial" w:cs="Arial"/>
          <w:sz w:val="20"/>
        </w:rPr>
        <w:t xml:space="preserve">Since 1998, Point Topic has gathered, analysed and published information sets that are used across the broadband industry and beyond as the foundation of reporting, planning and strategy. Point Topic </w:t>
      </w:r>
      <w:r w:rsidRPr="004F1528">
        <w:rPr>
          <w:rFonts w:ascii="Arial" w:eastAsia="Times New Roman" w:hAnsi="Arial" w:cs="Arial"/>
          <w:sz w:val="20"/>
        </w:rPr>
        <w:lastRenderedPageBreak/>
        <w:t xml:space="preserve">provides insight, context, sourcing and transparent reporting so users can follow the data inputs through to the information outputs with confidence. </w:t>
      </w:r>
    </w:p>
    <w:p w14:paraId="589BF834" w14:textId="77777777" w:rsidR="005B07A5" w:rsidRPr="004F1528" w:rsidRDefault="005B07A5" w:rsidP="00192E6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</w:rPr>
      </w:pPr>
    </w:p>
    <w:sectPr w:rsidR="005B07A5" w:rsidRPr="004F152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89DF" w14:textId="77777777" w:rsidR="002E10A2" w:rsidRDefault="002E10A2" w:rsidP="00401D35">
      <w:pPr>
        <w:spacing w:after="0" w:line="240" w:lineRule="auto"/>
      </w:pPr>
      <w:r>
        <w:separator/>
      </w:r>
    </w:p>
  </w:endnote>
  <w:endnote w:type="continuationSeparator" w:id="0">
    <w:p w14:paraId="0D47CB3D" w14:textId="77777777" w:rsidR="002E10A2" w:rsidRDefault="002E10A2" w:rsidP="004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9482" w14:textId="77777777" w:rsidR="002E10A2" w:rsidRDefault="002E10A2" w:rsidP="00401D35">
      <w:pPr>
        <w:spacing w:after="0" w:line="240" w:lineRule="auto"/>
      </w:pPr>
      <w:r>
        <w:separator/>
      </w:r>
    </w:p>
  </w:footnote>
  <w:footnote w:type="continuationSeparator" w:id="0">
    <w:p w14:paraId="692C02F0" w14:textId="77777777" w:rsidR="002E10A2" w:rsidRDefault="002E10A2" w:rsidP="004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5332" w14:textId="77777777" w:rsidR="00401D35" w:rsidRDefault="00401D35" w:rsidP="00401D35">
    <w:pPr>
      <w:pStyle w:val="Header"/>
      <w:tabs>
        <w:tab w:val="left" w:pos="2670"/>
        <w:tab w:val="right" w:pos="9000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30D023F7" wp14:editId="3C008DC0">
          <wp:extent cx="1818665" cy="699715"/>
          <wp:effectExtent l="0" t="0" r="0" b="0"/>
          <wp:docPr id="1073741825" name="officeArt object" descr="Image result for inca cc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inca ccop" descr="Image result for inca cco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665" cy="699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30E74BD" w14:textId="77777777" w:rsidR="00401D35" w:rsidRDefault="00401D35" w:rsidP="00401D35">
    <w:pPr>
      <w:pStyle w:val="Header"/>
      <w:tabs>
        <w:tab w:val="clear" w:pos="9026"/>
        <w:tab w:val="right" w:pos="9000"/>
      </w:tabs>
      <w:rPr>
        <w:rFonts w:ascii="Arial" w:hAnsi="Arial"/>
      </w:rPr>
    </w:pPr>
    <w:r>
      <w:rPr>
        <w:rFonts w:ascii="Arial" w:hAnsi="Arial"/>
      </w:rPr>
      <w:t>PRESS RELEASE</w:t>
    </w:r>
  </w:p>
  <w:p w14:paraId="5AC02974" w14:textId="1677B027" w:rsidR="00401D35" w:rsidRPr="00401D35" w:rsidRDefault="00401D35" w:rsidP="00401D35">
    <w:pPr>
      <w:pStyle w:val="Header"/>
      <w:tabs>
        <w:tab w:val="clear" w:pos="9026"/>
        <w:tab w:val="right" w:pos="9000"/>
      </w:tabs>
      <w:jc w:val="right"/>
      <w:rPr>
        <w:rFonts w:ascii="Arial" w:hAnsi="Arial"/>
      </w:rPr>
    </w:pPr>
    <w:r>
      <w:rPr>
        <w:rFonts w:ascii="Arial" w:hAnsi="Arial"/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25B"/>
    <w:multiLevelType w:val="hybridMultilevel"/>
    <w:tmpl w:val="1084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53BE"/>
    <w:multiLevelType w:val="hybridMultilevel"/>
    <w:tmpl w:val="DE78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6BE"/>
    <w:multiLevelType w:val="hybridMultilevel"/>
    <w:tmpl w:val="E494B528"/>
    <w:lvl w:ilvl="0" w:tplc="522004E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198341">
    <w:abstractNumId w:val="0"/>
  </w:num>
  <w:num w:numId="2" w16cid:durableId="1375737175">
    <w:abstractNumId w:val="2"/>
  </w:num>
  <w:num w:numId="3" w16cid:durableId="2721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NTI0NTYxMzEwMzJS0lEKTi0uzszPAymwqAUAg47njywAAAA="/>
  </w:docVars>
  <w:rsids>
    <w:rsidRoot w:val="00401D35"/>
    <w:rsid w:val="00014186"/>
    <w:rsid w:val="00022A9F"/>
    <w:rsid w:val="00033BE3"/>
    <w:rsid w:val="00034191"/>
    <w:rsid w:val="0004030C"/>
    <w:rsid w:val="00055383"/>
    <w:rsid w:val="00055E7C"/>
    <w:rsid w:val="0005746D"/>
    <w:rsid w:val="00071F8A"/>
    <w:rsid w:val="000823E2"/>
    <w:rsid w:val="00085D5B"/>
    <w:rsid w:val="00086A39"/>
    <w:rsid w:val="0009083E"/>
    <w:rsid w:val="00091936"/>
    <w:rsid w:val="000A4B6E"/>
    <w:rsid w:val="000B0789"/>
    <w:rsid w:val="000B251D"/>
    <w:rsid w:val="000B49AE"/>
    <w:rsid w:val="000D01C4"/>
    <w:rsid w:val="000E01C7"/>
    <w:rsid w:val="000F0442"/>
    <w:rsid w:val="000F386A"/>
    <w:rsid w:val="0012339D"/>
    <w:rsid w:val="001303C3"/>
    <w:rsid w:val="001304C3"/>
    <w:rsid w:val="00134972"/>
    <w:rsid w:val="00137520"/>
    <w:rsid w:val="00157988"/>
    <w:rsid w:val="00162475"/>
    <w:rsid w:val="00170F9E"/>
    <w:rsid w:val="00186C76"/>
    <w:rsid w:val="00192E6E"/>
    <w:rsid w:val="00195733"/>
    <w:rsid w:val="001B0E02"/>
    <w:rsid w:val="001C65CC"/>
    <w:rsid w:val="001C6A03"/>
    <w:rsid w:val="001D408A"/>
    <w:rsid w:val="001E1A3B"/>
    <w:rsid w:val="001F1E73"/>
    <w:rsid w:val="001F2CBE"/>
    <w:rsid w:val="002075EC"/>
    <w:rsid w:val="00214DA4"/>
    <w:rsid w:val="002239AE"/>
    <w:rsid w:val="00225A39"/>
    <w:rsid w:val="00231D32"/>
    <w:rsid w:val="0025681E"/>
    <w:rsid w:val="00256E88"/>
    <w:rsid w:val="002625A9"/>
    <w:rsid w:val="002654A8"/>
    <w:rsid w:val="00272370"/>
    <w:rsid w:val="00287E60"/>
    <w:rsid w:val="002A73A9"/>
    <w:rsid w:val="002B0F95"/>
    <w:rsid w:val="002B6FB0"/>
    <w:rsid w:val="002C3EC7"/>
    <w:rsid w:val="002E10A2"/>
    <w:rsid w:val="002E160B"/>
    <w:rsid w:val="002E6A09"/>
    <w:rsid w:val="002F162B"/>
    <w:rsid w:val="002F54F6"/>
    <w:rsid w:val="003050CD"/>
    <w:rsid w:val="00305D88"/>
    <w:rsid w:val="00317363"/>
    <w:rsid w:val="0032346C"/>
    <w:rsid w:val="0033511F"/>
    <w:rsid w:val="00352B8C"/>
    <w:rsid w:val="00373771"/>
    <w:rsid w:val="00374A2D"/>
    <w:rsid w:val="00377B74"/>
    <w:rsid w:val="00392E2B"/>
    <w:rsid w:val="003A490B"/>
    <w:rsid w:val="003B0A91"/>
    <w:rsid w:val="003B7717"/>
    <w:rsid w:val="003C0B9C"/>
    <w:rsid w:val="003D0F9F"/>
    <w:rsid w:val="003F2768"/>
    <w:rsid w:val="0040013C"/>
    <w:rsid w:val="00401D35"/>
    <w:rsid w:val="004143B1"/>
    <w:rsid w:val="004149F4"/>
    <w:rsid w:val="00424073"/>
    <w:rsid w:val="00424BCB"/>
    <w:rsid w:val="004270BC"/>
    <w:rsid w:val="004355DD"/>
    <w:rsid w:val="00435A24"/>
    <w:rsid w:val="004373EB"/>
    <w:rsid w:val="00445474"/>
    <w:rsid w:val="004768EA"/>
    <w:rsid w:val="004C34E1"/>
    <w:rsid w:val="004C58BB"/>
    <w:rsid w:val="004D09BD"/>
    <w:rsid w:val="004E309F"/>
    <w:rsid w:val="004F2B0A"/>
    <w:rsid w:val="00517C7D"/>
    <w:rsid w:val="00531B91"/>
    <w:rsid w:val="005422B7"/>
    <w:rsid w:val="0054268C"/>
    <w:rsid w:val="00561895"/>
    <w:rsid w:val="00580EC2"/>
    <w:rsid w:val="005855BC"/>
    <w:rsid w:val="005B054C"/>
    <w:rsid w:val="005B07A5"/>
    <w:rsid w:val="005B1D64"/>
    <w:rsid w:val="005C10D1"/>
    <w:rsid w:val="005C212E"/>
    <w:rsid w:val="005E4B5E"/>
    <w:rsid w:val="005E63F6"/>
    <w:rsid w:val="00602A3A"/>
    <w:rsid w:val="0060664A"/>
    <w:rsid w:val="00621441"/>
    <w:rsid w:val="006440C1"/>
    <w:rsid w:val="00673A2C"/>
    <w:rsid w:val="00684087"/>
    <w:rsid w:val="006849B7"/>
    <w:rsid w:val="006A37D2"/>
    <w:rsid w:val="006A67DC"/>
    <w:rsid w:val="006B3CE4"/>
    <w:rsid w:val="006B5718"/>
    <w:rsid w:val="007025A7"/>
    <w:rsid w:val="00712B4A"/>
    <w:rsid w:val="00736C6D"/>
    <w:rsid w:val="0074433C"/>
    <w:rsid w:val="007531DD"/>
    <w:rsid w:val="007577CD"/>
    <w:rsid w:val="00780262"/>
    <w:rsid w:val="00787395"/>
    <w:rsid w:val="0079334E"/>
    <w:rsid w:val="007B3B3E"/>
    <w:rsid w:val="007D2B34"/>
    <w:rsid w:val="007F3517"/>
    <w:rsid w:val="008243A4"/>
    <w:rsid w:val="00827A39"/>
    <w:rsid w:val="00837D1E"/>
    <w:rsid w:val="00851997"/>
    <w:rsid w:val="008621D6"/>
    <w:rsid w:val="00876225"/>
    <w:rsid w:val="008770B3"/>
    <w:rsid w:val="0089437A"/>
    <w:rsid w:val="008A7CB2"/>
    <w:rsid w:val="008B4C6E"/>
    <w:rsid w:val="008B7EC4"/>
    <w:rsid w:val="008C4457"/>
    <w:rsid w:val="008C6C14"/>
    <w:rsid w:val="008D7540"/>
    <w:rsid w:val="009076A6"/>
    <w:rsid w:val="00985C34"/>
    <w:rsid w:val="009C3258"/>
    <w:rsid w:val="009D014B"/>
    <w:rsid w:val="009E7A3A"/>
    <w:rsid w:val="00A053E5"/>
    <w:rsid w:val="00A07099"/>
    <w:rsid w:val="00A12C8C"/>
    <w:rsid w:val="00A13613"/>
    <w:rsid w:val="00A23AB9"/>
    <w:rsid w:val="00A36026"/>
    <w:rsid w:val="00A52E16"/>
    <w:rsid w:val="00A61587"/>
    <w:rsid w:val="00A83F8D"/>
    <w:rsid w:val="00AA30F1"/>
    <w:rsid w:val="00AA32F9"/>
    <w:rsid w:val="00AB44F5"/>
    <w:rsid w:val="00AC67B0"/>
    <w:rsid w:val="00AE414B"/>
    <w:rsid w:val="00AF435C"/>
    <w:rsid w:val="00B12602"/>
    <w:rsid w:val="00B21960"/>
    <w:rsid w:val="00B229C2"/>
    <w:rsid w:val="00B2355E"/>
    <w:rsid w:val="00B752CF"/>
    <w:rsid w:val="00B8022D"/>
    <w:rsid w:val="00B84E38"/>
    <w:rsid w:val="00B871EF"/>
    <w:rsid w:val="00BC18BE"/>
    <w:rsid w:val="00BC1C39"/>
    <w:rsid w:val="00BF488A"/>
    <w:rsid w:val="00C03284"/>
    <w:rsid w:val="00C15DA6"/>
    <w:rsid w:val="00C20B93"/>
    <w:rsid w:val="00C37E4A"/>
    <w:rsid w:val="00C44E4D"/>
    <w:rsid w:val="00C52153"/>
    <w:rsid w:val="00C64D72"/>
    <w:rsid w:val="00C829CF"/>
    <w:rsid w:val="00C8634C"/>
    <w:rsid w:val="00CA0C50"/>
    <w:rsid w:val="00CA77CF"/>
    <w:rsid w:val="00CB6088"/>
    <w:rsid w:val="00CB6C9C"/>
    <w:rsid w:val="00CB7079"/>
    <w:rsid w:val="00CE0D56"/>
    <w:rsid w:val="00CE77E1"/>
    <w:rsid w:val="00CF371C"/>
    <w:rsid w:val="00D0062E"/>
    <w:rsid w:val="00D0524D"/>
    <w:rsid w:val="00D05B22"/>
    <w:rsid w:val="00D07B49"/>
    <w:rsid w:val="00D257AA"/>
    <w:rsid w:val="00D30B27"/>
    <w:rsid w:val="00D31415"/>
    <w:rsid w:val="00D42D8A"/>
    <w:rsid w:val="00D52F6E"/>
    <w:rsid w:val="00D54499"/>
    <w:rsid w:val="00D66AE6"/>
    <w:rsid w:val="00DB295A"/>
    <w:rsid w:val="00DE228F"/>
    <w:rsid w:val="00DF0A51"/>
    <w:rsid w:val="00DF46D9"/>
    <w:rsid w:val="00E00809"/>
    <w:rsid w:val="00E41C8C"/>
    <w:rsid w:val="00E57BAF"/>
    <w:rsid w:val="00E62FEA"/>
    <w:rsid w:val="00E7141F"/>
    <w:rsid w:val="00E862CD"/>
    <w:rsid w:val="00E936A6"/>
    <w:rsid w:val="00EA5CF4"/>
    <w:rsid w:val="00EA702A"/>
    <w:rsid w:val="00EB0D79"/>
    <w:rsid w:val="00EC2051"/>
    <w:rsid w:val="00EF16BA"/>
    <w:rsid w:val="00F43B4A"/>
    <w:rsid w:val="00F463D8"/>
    <w:rsid w:val="00F50648"/>
    <w:rsid w:val="00F546AC"/>
    <w:rsid w:val="00F636D9"/>
    <w:rsid w:val="00F736AA"/>
    <w:rsid w:val="00F74270"/>
    <w:rsid w:val="00FB1FE4"/>
    <w:rsid w:val="00FC0AA7"/>
    <w:rsid w:val="00FC57A4"/>
    <w:rsid w:val="00FC631C"/>
    <w:rsid w:val="00FD1F58"/>
    <w:rsid w:val="00FF1C7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45BF"/>
  <w15:docId w15:val="{9676593B-9EBE-4FC6-AC67-521DBD1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35"/>
  </w:style>
  <w:style w:type="paragraph" w:styleId="Footer">
    <w:name w:val="footer"/>
    <w:basedOn w:val="Normal"/>
    <w:link w:val="FooterChar"/>
    <w:uiPriority w:val="99"/>
    <w:unhideWhenUsed/>
    <w:rsid w:val="0040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35"/>
  </w:style>
  <w:style w:type="paragraph" w:customStyle="1" w:styleId="xmsonormal">
    <w:name w:val="x_msonormal"/>
    <w:basedOn w:val="Normal"/>
    <w:rsid w:val="00A12C8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08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B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01C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77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6A0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F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customStyle="1" w:styleId="Body">
    <w:name w:val="Body"/>
    <w:rsid w:val="001303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Revision">
    <w:name w:val="Revision"/>
    <w:hidden/>
    <w:uiPriority w:val="99"/>
    <w:semiHidden/>
    <w:rsid w:val="001E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.coop/sites/default/files/inca_metrics_report_2023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ca.co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a@proactive-p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int-top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a.coo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B35E-0A86-479A-AD33-94ED205D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Curry</dc:creator>
  <cp:lastModifiedBy>James Page</cp:lastModifiedBy>
  <cp:revision>5</cp:revision>
  <dcterms:created xsi:type="dcterms:W3CDTF">2023-05-09T11:21:00Z</dcterms:created>
  <dcterms:modified xsi:type="dcterms:W3CDTF">2023-05-17T08:58:00Z</dcterms:modified>
</cp:coreProperties>
</file>