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7A8F" w:rsidR="00CF7A8F" w:rsidP="00CF7A8F" w:rsidRDefault="00CF7A8F" w14:paraId="166BD48F" w14:textId="1A61EDA1">
      <w:pPr>
        <w:spacing w:beforeAutospacing="1" w:after="60" w:line="240" w:lineRule="auto"/>
        <w:rPr>
          <w:rFonts w:ascii="Calibri" w:hAnsi="Calibri" w:eastAsia="Calibri" w:cs="Calibri"/>
          <w:bCs/>
          <w:sz w:val="18"/>
          <w:szCs w:val="18"/>
          <w:lang w:val="en-GB"/>
        </w:rPr>
      </w:pPr>
      <w:r w:rsidRPr="00CF7A8F">
        <w:rPr>
          <w:rFonts w:ascii="Calibri" w:hAnsi="Calibri" w:eastAsia="Calibri" w:cs="Calibri"/>
          <w:bCs/>
          <w:sz w:val="18"/>
          <w:szCs w:val="18"/>
          <w:lang w:val="en-GB"/>
        </w:rPr>
        <w:t>April 2019</w:t>
      </w:r>
    </w:p>
    <w:p w:rsidRPr="00CF7A8F" w:rsidR="763EC571" w:rsidP="70EA3D81" w:rsidRDefault="1EF5166C" w14:paraId="7487CD4C" w14:textId="7CB63C67">
      <w:pPr>
        <w:spacing w:beforeAutospacing="on" w:after="60" w:line="240" w:lineRule="auto"/>
        <w:jc w:val="center"/>
        <w:rPr>
          <w:rFonts w:ascii="Calibri" w:hAnsi="Calibri" w:eastAsia="Calibri" w:cs="Calibri"/>
          <w:b w:val="1"/>
          <w:bCs w:val="1"/>
          <w:sz w:val="28"/>
          <w:szCs w:val="28"/>
          <w:lang w:val="en-GB"/>
        </w:rPr>
      </w:pPr>
      <w:r w:rsidRPr="70EA3D81" w:rsidR="70EA3D81">
        <w:rPr>
          <w:rFonts w:ascii="Calibri" w:hAnsi="Calibri" w:eastAsia="Calibri" w:cs="Calibri"/>
          <w:b w:val="1"/>
          <w:bCs w:val="1"/>
          <w:sz w:val="28"/>
          <w:szCs w:val="28"/>
          <w:lang w:val="en-GB"/>
        </w:rPr>
        <w:t xml:space="preserve">New calculator </w:t>
      </w:r>
      <w:r w:rsidRPr="70EA3D81" w:rsidR="70EA3D81">
        <w:rPr>
          <w:rFonts w:ascii="Calibri" w:hAnsi="Calibri" w:eastAsia="Calibri" w:cs="Calibri"/>
          <w:b w:val="1"/>
          <w:bCs w:val="1"/>
          <w:sz w:val="28"/>
          <w:szCs w:val="28"/>
          <w:lang w:val="en-GB"/>
        </w:rPr>
        <w:t xml:space="preserve">reveals </w:t>
      </w:r>
      <w:r w:rsidRPr="70EA3D81" w:rsidR="70EA3D81">
        <w:rPr>
          <w:rFonts w:ascii="Calibri" w:hAnsi="Calibri" w:eastAsia="Calibri" w:cs="Calibri"/>
          <w:b w:val="1"/>
          <w:bCs w:val="1"/>
          <w:sz w:val="28"/>
          <w:szCs w:val="28"/>
          <w:lang w:val="en-GB"/>
        </w:rPr>
        <w:t xml:space="preserve">the cost of living in a residential care home </w:t>
      </w:r>
      <w:r w:rsidRPr="70EA3D81" w:rsidR="70EA3D81">
        <w:rPr>
          <w:rFonts w:ascii="Calibri" w:hAnsi="Calibri" w:eastAsia="Calibri" w:cs="Calibri"/>
          <w:b w:val="1"/>
          <w:bCs w:val="1"/>
          <w:sz w:val="28"/>
          <w:szCs w:val="28"/>
          <w:lang w:val="en-GB"/>
        </w:rPr>
        <w:t xml:space="preserve">vs </w:t>
      </w:r>
      <w:r w:rsidRPr="70EA3D81" w:rsidR="70EA3D81">
        <w:rPr>
          <w:rFonts w:ascii="Calibri" w:hAnsi="Calibri" w:eastAsia="Calibri" w:cs="Calibri"/>
          <w:b w:val="1"/>
          <w:bCs w:val="1"/>
          <w:sz w:val="28"/>
          <w:szCs w:val="28"/>
          <w:lang w:val="en-GB"/>
        </w:rPr>
        <w:t>‘age-proofing’ your current home</w:t>
      </w:r>
    </w:p>
    <w:p w:rsidR="763EC571" w:rsidP="4C3FCFD6" w:rsidRDefault="1EF5166C" w14:paraId="4D13BE40" w14:textId="78FD6F17">
      <w:pPr>
        <w:pStyle w:val="ListParagraph"/>
        <w:numPr>
          <w:ilvl w:val="0"/>
          <w:numId w:val="1"/>
        </w:numPr>
        <w:spacing w:beforeAutospacing="on" w:after="60" w:line="240" w:lineRule="auto"/>
        <w:rPr>
          <w:b w:val="1"/>
          <w:bCs w:val="1"/>
          <w:lang w:val="en-GB"/>
        </w:rPr>
      </w:pPr>
      <w:r w:rsidRPr="4C3FCFD6" w:rsidR="4C3FCFD6">
        <w:rPr>
          <w:rFonts w:ascii="Calibri" w:hAnsi="Calibri" w:eastAsia="Calibri" w:cs="Calibri"/>
          <w:b w:val="1"/>
          <w:bCs w:val="1"/>
          <w:lang w:val="en-GB"/>
        </w:rPr>
        <w:t>Analysis reveals it’s 65% cheaper to ‘age-proof’ your current home than it is to move into a residential care home</w:t>
      </w:r>
    </w:p>
    <w:p w:rsidR="763EC571" w:rsidP="4C3FCFD6" w:rsidRDefault="21A18194" w14:paraId="4E3EA7BF" w14:textId="6F69975E">
      <w:pPr>
        <w:pStyle w:val="ListParagraph"/>
        <w:numPr>
          <w:ilvl w:val="0"/>
          <w:numId w:val="1"/>
        </w:numPr>
        <w:spacing w:beforeAutospacing="on" w:after="60" w:line="240" w:lineRule="auto"/>
        <w:rPr>
          <w:b w:val="1"/>
          <w:bCs w:val="1"/>
          <w:lang w:val="en-GB"/>
        </w:rPr>
      </w:pPr>
      <w:r w:rsidRPr="4C3FCFD6" w:rsidR="4C3FCFD6">
        <w:rPr>
          <w:rFonts w:ascii="Calibri" w:hAnsi="Calibri" w:eastAsia="Calibri" w:cs="Calibri"/>
          <w:b w:val="1"/>
          <w:bCs w:val="1"/>
          <w:lang w:val="en-GB"/>
        </w:rPr>
        <w:t>I</w:t>
      </w:r>
      <w:r w:rsidRPr="4C3FCFD6" w:rsidR="4C3FCFD6">
        <w:rPr>
          <w:rFonts w:ascii="Calibri" w:hAnsi="Calibri" w:eastAsia="Calibri" w:cs="Calibri"/>
          <w:b w:val="1"/>
          <w:bCs w:val="1"/>
          <w:lang w:val="en-GB"/>
        </w:rPr>
        <w:t xml:space="preserve">t’s </w:t>
      </w:r>
      <w:r w:rsidRPr="4C3FCFD6" w:rsidR="4C3FCFD6">
        <w:rPr>
          <w:rFonts w:ascii="Calibri" w:hAnsi="Calibri" w:eastAsia="Calibri" w:cs="Calibri"/>
          <w:b w:val="1"/>
          <w:bCs w:val="1"/>
          <w:lang w:val="en-GB"/>
        </w:rPr>
        <w:t>28</w:t>
      </w:r>
      <w:r w:rsidRPr="4C3FCFD6" w:rsidR="4C3FCFD6">
        <w:rPr>
          <w:rFonts w:ascii="Calibri" w:hAnsi="Calibri" w:eastAsia="Calibri" w:cs="Calibri"/>
          <w:b w:val="1"/>
          <w:bCs w:val="1"/>
          <w:lang w:val="en-GB"/>
        </w:rPr>
        <w:t xml:space="preserve">% cheaper to age-proof your home </w:t>
      </w:r>
      <w:r w:rsidRPr="4C3FCFD6" w:rsidR="4C3FCFD6">
        <w:rPr>
          <w:rFonts w:ascii="Calibri" w:hAnsi="Calibri" w:eastAsia="Calibri" w:cs="Calibri"/>
          <w:b w:val="1"/>
          <w:bCs w:val="1"/>
          <w:u w:val="single"/>
          <w:lang w:val="en-GB"/>
        </w:rPr>
        <w:t>and</w:t>
      </w:r>
      <w:r w:rsidRPr="4C3FCFD6" w:rsidR="4C3FCFD6">
        <w:rPr>
          <w:rFonts w:ascii="Calibri" w:hAnsi="Calibri" w:eastAsia="Calibri" w:cs="Calibri"/>
          <w:b w:val="1"/>
          <w:bCs w:val="1"/>
          <w:lang w:val="en-GB"/>
        </w:rPr>
        <w:t xml:space="preserve"> receive five years’ at-home </w:t>
      </w:r>
      <w:r w:rsidRPr="4C3FCFD6" w:rsidR="4C3FCFD6">
        <w:rPr>
          <w:rFonts w:ascii="Calibri" w:hAnsi="Calibri" w:eastAsia="Calibri" w:cs="Calibri"/>
          <w:b w:val="1"/>
          <w:bCs w:val="1"/>
          <w:lang w:val="en-GB"/>
        </w:rPr>
        <w:t xml:space="preserve">nursing </w:t>
      </w:r>
      <w:r w:rsidRPr="4C3FCFD6" w:rsidR="4C3FCFD6">
        <w:rPr>
          <w:rFonts w:ascii="Calibri" w:hAnsi="Calibri" w:eastAsia="Calibri" w:cs="Calibri"/>
          <w:b w:val="1"/>
          <w:bCs w:val="1"/>
          <w:lang w:val="en-GB"/>
        </w:rPr>
        <w:t>care than it is to move into a residential nursing home for five years</w:t>
      </w:r>
    </w:p>
    <w:p w:rsidR="763EC571" w:rsidP="21A18194" w:rsidRDefault="21A18194" w14:paraId="22E3DBA0" w14:textId="0F519D80">
      <w:pPr>
        <w:pStyle w:val="ListParagraph"/>
        <w:numPr>
          <w:ilvl w:val="0"/>
          <w:numId w:val="5"/>
        </w:numPr>
        <w:spacing w:beforeAutospacing="1" w:after="60" w:line="240" w:lineRule="auto"/>
        <w:rPr>
          <w:b/>
          <w:bCs/>
          <w:lang w:val="en-GB"/>
        </w:rPr>
      </w:pPr>
      <w:r w:rsidRPr="21A18194">
        <w:rPr>
          <w:rFonts w:ascii="Calibri" w:hAnsi="Calibri" w:eastAsia="Calibri" w:cs="Calibri"/>
          <w:b/>
          <w:bCs/>
          <w:lang w:val="en-GB"/>
        </w:rPr>
        <w:t>The South East ranked the most expensive UK region to move into residential care (whereas Northern Ireland is the cheapest)</w:t>
      </w:r>
    </w:p>
    <w:p w:rsidRPr="00CF7A8F" w:rsidR="763EC571" w:rsidP="4C3FCFD6" w:rsidRDefault="21A18194" w14:paraId="7B724B82" w14:textId="54F4B62C">
      <w:pPr>
        <w:pStyle w:val="ListParagraph"/>
        <w:numPr>
          <w:ilvl w:val="0"/>
          <w:numId w:val="5"/>
        </w:numPr>
        <w:spacing w:beforeAutospacing="on" w:after="60" w:line="240" w:lineRule="auto"/>
        <w:rPr>
          <w:b w:val="1"/>
          <w:bCs w:val="1"/>
          <w:lang w:val="en-GB"/>
        </w:rPr>
      </w:pPr>
      <w:r w:rsidRPr="4C3FCFD6" w:rsidR="4C3FCFD6">
        <w:rPr>
          <w:rFonts w:ascii="Calibri" w:hAnsi="Calibri" w:eastAsia="Calibri" w:cs="Calibri"/>
          <w:b w:val="1"/>
          <w:bCs w:val="1"/>
          <w:lang w:val="en-GB"/>
        </w:rPr>
        <w:t>87% of over-65s want to grow old independently in their own home</w:t>
      </w:r>
      <w:r w:rsidRPr="4C3FCFD6" w:rsidR="4C3FCFD6">
        <w:rPr>
          <w:rFonts w:ascii="Calibri" w:hAnsi="Calibri" w:eastAsia="Calibri" w:cs="Calibri"/>
          <w:b w:val="1"/>
          <w:bCs w:val="1"/>
          <w:lang w:val="en-GB"/>
        </w:rPr>
        <w:t>, according to survey</w:t>
      </w:r>
    </w:p>
    <w:p w:rsidR="763EC571" w:rsidP="2D0D2E13" w:rsidRDefault="1EF5166C" w14:paraId="03B4715A" w14:textId="47F2A1F0">
      <w:pPr>
        <w:spacing w:beforeAutospacing="on" w:after="60" w:line="240" w:lineRule="auto"/>
        <w:rPr>
          <w:rFonts w:eastAsia="" w:eastAsiaTheme="minorEastAsia"/>
          <w:lang w:val="en-GB"/>
        </w:rPr>
      </w:pPr>
      <w:r w:rsidRPr="2D0D2E13" w:rsidR="2D0D2E13">
        <w:rPr>
          <w:rFonts w:eastAsia="" w:eastAsiaTheme="minorEastAsia"/>
          <w:lang w:val="en-GB"/>
        </w:rPr>
        <w:t xml:space="preserve">Population forecasts predict that the </w:t>
      </w:r>
      <w:r w:rsidRPr="2D0D2E13" w:rsidR="2D0D2E13">
        <w:rPr>
          <w:rFonts w:eastAsia="" w:eastAsiaTheme="minorEastAsia"/>
          <w:b w:val="1"/>
          <w:bCs w:val="1"/>
          <w:lang w:val="en-GB"/>
        </w:rPr>
        <w:t>number of over 67-year-olds in the UK will grow by over 30%</w:t>
      </w:r>
      <w:r w:rsidRPr="2D0D2E13" w:rsidR="2D0D2E13">
        <w:rPr>
          <w:rFonts w:eastAsia="" w:eastAsiaTheme="minorEastAsia"/>
          <w:lang w:val="en-GB"/>
        </w:rPr>
        <w:t xml:space="preserve"> between 2016 and 2041</w:t>
      </w:r>
      <w:r w:rsidRPr="2D0D2E13" w:rsidR="2D0D2E13">
        <w:rPr>
          <w:rFonts w:eastAsia="" w:eastAsiaTheme="minorEastAsia"/>
          <w:vertAlign w:val="superscript"/>
          <w:lang w:val="en-GB"/>
        </w:rPr>
        <w:t>1</w:t>
      </w:r>
      <w:r w:rsidRPr="2D0D2E13" w:rsidR="2D0D2E13">
        <w:rPr>
          <w:rFonts w:eastAsia="" w:eastAsiaTheme="minorEastAsia"/>
          <w:lang w:val="en-GB"/>
        </w:rPr>
        <w:t xml:space="preserve">, making it more important than ever to ensure we prepare for our needs in old age. </w:t>
      </w:r>
    </w:p>
    <w:p w:rsidR="3AB51FEB" w:rsidP="21A18194" w:rsidRDefault="21A18194" w14:paraId="6790D335" w14:textId="414D30DB">
      <w:pPr>
        <w:spacing w:beforeAutospacing="1" w:after="60" w:line="240" w:lineRule="auto"/>
        <w:rPr>
          <w:rFonts w:eastAsiaTheme="minorEastAsia"/>
          <w:lang w:val="en-GB"/>
        </w:rPr>
      </w:pPr>
      <w:r w:rsidRPr="21A18194">
        <w:rPr>
          <w:rFonts w:eastAsiaTheme="minorEastAsia"/>
          <w:lang w:val="en-GB"/>
        </w:rPr>
        <w:t>Whether this takes form in downsizing to a retirement village or moving into a residential nursing home, there are several options available. But</w:t>
      </w:r>
      <w:r w:rsidRPr="21A18194">
        <w:rPr>
          <w:rFonts w:eastAsiaTheme="minorEastAsia"/>
          <w:b/>
          <w:bCs/>
          <w:lang w:val="en-GB"/>
        </w:rPr>
        <w:t xml:space="preserve"> not all are suited to what the UK’s over-65s actually want </w:t>
      </w:r>
      <w:r w:rsidRPr="21A18194">
        <w:rPr>
          <w:rFonts w:eastAsiaTheme="minorEastAsia"/>
          <w:lang w:val="en-GB"/>
        </w:rPr>
        <w:t xml:space="preserve">– a </w:t>
      </w:r>
      <w:hyperlink r:id="rId10">
        <w:r w:rsidRPr="21A18194">
          <w:rPr>
            <w:rStyle w:val="Hyperlink"/>
            <w:rFonts w:eastAsiaTheme="minorEastAsia"/>
            <w:lang w:val="en-GB"/>
          </w:rPr>
          <w:t>study</w:t>
        </w:r>
      </w:hyperlink>
      <w:r w:rsidRPr="21A18194">
        <w:rPr>
          <w:rFonts w:eastAsiaTheme="minorEastAsia"/>
          <w:lang w:val="en-GB"/>
        </w:rPr>
        <w:t xml:space="preserve"> conducted on behalf of Mira Showers found that </w:t>
      </w:r>
      <w:r w:rsidRPr="21A18194">
        <w:rPr>
          <w:rFonts w:eastAsiaTheme="minorEastAsia"/>
          <w:b/>
          <w:bCs/>
          <w:lang w:val="en-GB"/>
        </w:rPr>
        <w:t>87% would rather grow old independently in their own home</w:t>
      </w:r>
      <w:r w:rsidRPr="00CF7A8F" w:rsidR="00CF7A8F">
        <w:rPr>
          <w:rFonts w:eastAsiaTheme="minorEastAsia"/>
          <w:b/>
          <w:bCs/>
          <w:vertAlign w:val="superscript"/>
          <w:lang w:val="en-GB"/>
        </w:rPr>
        <w:t>2</w:t>
      </w:r>
      <w:r w:rsidRPr="21A18194">
        <w:rPr>
          <w:rFonts w:eastAsiaTheme="minorEastAsia"/>
          <w:lang w:val="en-GB"/>
        </w:rPr>
        <w:t xml:space="preserve">. However, some adjustments may be required to adapt our homes for later life. </w:t>
      </w:r>
    </w:p>
    <w:p w:rsidR="3AB51FEB" w:rsidP="4C3FCFD6" w:rsidRDefault="21A18194" w14:paraId="3FA8466B" w14:textId="699EC96C">
      <w:pPr>
        <w:spacing w:beforeAutospacing="on" w:after="60" w:line="240" w:lineRule="auto"/>
        <w:rPr>
          <w:rFonts w:eastAsia="" w:eastAsiaTheme="minorEastAsia"/>
          <w:lang w:val="en-GB"/>
        </w:rPr>
      </w:pPr>
      <w:r w:rsidRPr="4C3FCFD6" w:rsidR="4C3FCFD6">
        <w:rPr>
          <w:rFonts w:eastAsia="" w:eastAsiaTheme="minorEastAsia"/>
          <w:lang w:val="en-GB"/>
        </w:rPr>
        <w:t>The s</w:t>
      </w:r>
      <w:r w:rsidRPr="4C3FCFD6" w:rsidR="4C3FCFD6">
        <w:rPr>
          <w:rFonts w:eastAsia="" w:eastAsiaTheme="minorEastAsia"/>
          <w:lang w:val="en-GB"/>
        </w:rPr>
        <w:t>urve</w:t>
      </w:r>
      <w:r w:rsidRPr="4C3FCFD6" w:rsidR="4C3FCFD6">
        <w:rPr>
          <w:rFonts w:eastAsia="" w:eastAsiaTheme="minorEastAsia"/>
          <w:lang w:val="en-GB"/>
        </w:rPr>
        <w:t>y of 1,000 over-65s also found:</w:t>
      </w:r>
    </w:p>
    <w:p w:rsidR="3AB51FEB" w:rsidP="1EF5166C" w:rsidRDefault="1EF5166C" w14:paraId="1F9AB05F" w14:textId="6E8353B9">
      <w:pPr>
        <w:pStyle w:val="ListParagraph"/>
        <w:numPr>
          <w:ilvl w:val="0"/>
          <w:numId w:val="2"/>
        </w:numPr>
        <w:spacing w:beforeAutospacing="1" w:after="60" w:line="240" w:lineRule="auto"/>
        <w:rPr>
          <w:lang w:val="en-GB"/>
        </w:rPr>
      </w:pPr>
      <w:r w:rsidRPr="1EF5166C">
        <w:rPr>
          <w:rFonts w:eastAsiaTheme="minorEastAsia"/>
          <w:lang w:val="en-GB"/>
        </w:rPr>
        <w:t xml:space="preserve">75% would </w:t>
      </w:r>
      <w:r w:rsidRPr="1EF5166C">
        <w:rPr>
          <w:rFonts w:eastAsiaTheme="minorEastAsia"/>
          <w:b/>
          <w:bCs/>
          <w:lang w:val="en-GB"/>
        </w:rPr>
        <w:t>most appreciate assisted-living products in the bathroom.</w:t>
      </w:r>
    </w:p>
    <w:p w:rsidR="1EF5166C" w:rsidP="1EF5166C" w:rsidRDefault="1EF5166C" w14:paraId="478BFD89" w14:textId="51205E23">
      <w:pPr>
        <w:pStyle w:val="ListParagraph"/>
        <w:numPr>
          <w:ilvl w:val="0"/>
          <w:numId w:val="2"/>
        </w:numPr>
        <w:spacing w:beforeAutospacing="1" w:after="60" w:line="240" w:lineRule="auto"/>
        <w:rPr>
          <w:lang w:val="en-GB"/>
        </w:rPr>
      </w:pPr>
      <w:r w:rsidRPr="1EF5166C">
        <w:rPr>
          <w:rFonts w:eastAsiaTheme="minorEastAsia"/>
          <w:lang w:val="en-GB"/>
        </w:rPr>
        <w:t>73% agree that brands don’t do enough to marry functionality with style, and are put off by overly clinical products</w:t>
      </w:r>
    </w:p>
    <w:p w:rsidR="1EF5166C" w:rsidP="1EF5166C" w:rsidRDefault="1EF5166C" w14:paraId="7C78B025" w14:textId="5BC033F5">
      <w:pPr>
        <w:pStyle w:val="ListParagraph"/>
        <w:numPr>
          <w:ilvl w:val="0"/>
          <w:numId w:val="2"/>
        </w:numPr>
        <w:spacing w:beforeAutospacing="1" w:after="60" w:line="240" w:lineRule="auto"/>
        <w:rPr>
          <w:lang w:val="en-GB"/>
        </w:rPr>
      </w:pPr>
      <w:r w:rsidRPr="1EF5166C">
        <w:rPr>
          <w:rFonts w:eastAsiaTheme="minorEastAsia"/>
          <w:lang w:val="en-GB"/>
        </w:rPr>
        <w:t>70% prioritise style over function when it comes to adapting their homes to be suitable for their needs in later life.</w:t>
      </w:r>
    </w:p>
    <w:p w:rsidRPr="00CF7A8F" w:rsidR="1A2365B7" w:rsidP="21A18194" w:rsidRDefault="1EF5166C" w14:paraId="31A631E7" w14:textId="51960E93">
      <w:pPr>
        <w:pStyle w:val="ListParagraph"/>
        <w:numPr>
          <w:ilvl w:val="0"/>
          <w:numId w:val="2"/>
        </w:numPr>
        <w:spacing w:beforeAutospacing="1" w:after="60" w:line="240" w:lineRule="auto"/>
        <w:rPr>
          <w:lang w:val="en-GB"/>
        </w:rPr>
      </w:pPr>
      <w:r w:rsidRPr="1EF5166C">
        <w:rPr>
          <w:rFonts w:eastAsiaTheme="minorEastAsia"/>
          <w:lang w:val="en-GB"/>
        </w:rPr>
        <w:t xml:space="preserve">1 in 5 admitted the thought of </w:t>
      </w:r>
      <w:r w:rsidR="00CF7A8F">
        <w:rPr>
          <w:rFonts w:eastAsiaTheme="minorEastAsia"/>
          <w:lang w:val="en-GB"/>
        </w:rPr>
        <w:t>‘</w:t>
      </w:r>
      <w:r w:rsidRPr="1EF5166C">
        <w:rPr>
          <w:rFonts w:eastAsiaTheme="minorEastAsia"/>
          <w:lang w:val="en-GB"/>
        </w:rPr>
        <w:t>age-proofing</w:t>
      </w:r>
      <w:r w:rsidR="00CF7A8F">
        <w:rPr>
          <w:rFonts w:eastAsiaTheme="minorEastAsia"/>
          <w:lang w:val="en-GB"/>
        </w:rPr>
        <w:t>’</w:t>
      </w:r>
      <w:r w:rsidRPr="00CF7A8F" w:rsidR="00CF7A8F">
        <w:rPr>
          <w:rFonts w:eastAsiaTheme="minorEastAsia"/>
          <w:vertAlign w:val="superscript"/>
          <w:lang w:val="en-GB"/>
        </w:rPr>
        <w:t>3</w:t>
      </w:r>
      <w:r w:rsidRPr="00CF7A8F">
        <w:rPr>
          <w:rFonts w:eastAsiaTheme="minorEastAsia"/>
          <w:vertAlign w:val="superscript"/>
          <w:lang w:val="en-GB"/>
        </w:rPr>
        <w:t xml:space="preserve"> </w:t>
      </w:r>
      <w:r w:rsidRPr="1EF5166C">
        <w:rPr>
          <w:rFonts w:eastAsiaTheme="minorEastAsia"/>
          <w:lang w:val="en-GB"/>
        </w:rPr>
        <w:t>their home with items such as grab rails and mobility aids sent alarm bells ringing regarding costs.</w:t>
      </w:r>
    </w:p>
    <w:p w:rsidR="21A18194" w:rsidP="70EA3D81" w:rsidRDefault="21A18194" w14:paraId="3A69058A" w14:textId="0D96BD53">
      <w:pPr>
        <w:spacing w:beforeAutospacing="on" w:after="60" w:line="240" w:lineRule="auto"/>
        <w:rPr>
          <w:rFonts w:eastAsia="" w:eastAsiaTheme="minorEastAsia"/>
          <w:lang w:val="en-GB"/>
        </w:rPr>
      </w:pPr>
      <w:r w:rsidRPr="70EA3D81" w:rsidR="70EA3D81">
        <w:rPr>
          <w:rFonts w:eastAsia="" w:eastAsiaTheme="minorEastAsia"/>
          <w:lang w:val="en-GB"/>
        </w:rPr>
        <w:t xml:space="preserve">To help the aging population and their relatives find a cost-effective option that works for them, </w:t>
      </w:r>
      <w:hyperlink r:id="R1d2eba8535a34a28">
        <w:r w:rsidRPr="70EA3D81" w:rsidR="70EA3D81">
          <w:rPr>
            <w:rStyle w:val="Hyperlink"/>
            <w:rFonts w:eastAsia="" w:eastAsiaTheme="minorEastAsia"/>
            <w:lang w:val="en-GB"/>
          </w:rPr>
          <w:t>a</w:t>
        </w:r>
        <w:r w:rsidRPr="70EA3D81" w:rsidR="70EA3D81">
          <w:rPr>
            <w:rStyle w:val="Hyperlink"/>
            <w:rFonts w:eastAsia="" w:eastAsiaTheme="minorEastAsia"/>
            <w:b w:val="1"/>
            <w:bCs w:val="1"/>
            <w:lang w:val="en-GB"/>
          </w:rPr>
          <w:t xml:space="preserve"> new calculator</w:t>
        </w:r>
      </w:hyperlink>
      <w:r w:rsidRPr="70EA3D81" w:rsidR="70EA3D81">
        <w:rPr>
          <w:rFonts w:eastAsia="" w:eastAsiaTheme="minorEastAsia"/>
          <w:lang w:val="en-GB"/>
        </w:rPr>
        <w:t xml:space="preserve"> has been launched that compares the cost of </w:t>
      </w:r>
      <w:r w:rsidRPr="70EA3D81" w:rsidR="70EA3D81">
        <w:rPr>
          <w:rFonts w:eastAsia="" w:eastAsiaTheme="minorEastAsia"/>
          <w:lang w:val="en-GB"/>
        </w:rPr>
        <w:t>living in</w:t>
      </w:r>
      <w:r w:rsidRPr="70EA3D81" w:rsidR="70EA3D81">
        <w:rPr>
          <w:rFonts w:eastAsia="" w:eastAsiaTheme="minorEastAsia"/>
          <w:lang w:val="en-GB"/>
        </w:rPr>
        <w:t xml:space="preserve"> a residential care home</w:t>
      </w:r>
      <w:r w:rsidRPr="70EA3D81" w:rsidR="70EA3D81">
        <w:rPr>
          <w:rFonts w:eastAsia="" w:eastAsiaTheme="minorEastAsia"/>
          <w:vertAlign w:val="superscript"/>
          <w:lang w:val="en-GB"/>
        </w:rPr>
        <w:t>4</w:t>
      </w:r>
      <w:r w:rsidRPr="70EA3D81" w:rsidR="70EA3D81">
        <w:rPr>
          <w:rFonts w:eastAsia="" w:eastAsiaTheme="minorEastAsia"/>
          <w:vertAlign w:val="superscript"/>
          <w:lang w:val="en-GB"/>
        </w:rPr>
        <w:t xml:space="preserve"> </w:t>
      </w:r>
      <w:r w:rsidRPr="70EA3D81" w:rsidR="70EA3D81">
        <w:rPr>
          <w:rFonts w:eastAsia="" w:eastAsiaTheme="minorEastAsia"/>
          <w:lang w:val="en-GB"/>
        </w:rPr>
        <w:t xml:space="preserve">versus the approximate cost to prepare their existing home for later life. </w:t>
      </w:r>
    </w:p>
    <w:p w:rsidR="21A18194" w:rsidP="1EF5166C" w:rsidRDefault="1EF5166C" w14:paraId="72C33FDF" w14:textId="21EEB8B7">
      <w:pPr>
        <w:spacing w:beforeAutospacing="1" w:after="60" w:line="240" w:lineRule="auto"/>
        <w:rPr>
          <w:rFonts w:eastAsiaTheme="minorEastAsia"/>
          <w:lang w:val="en-GB"/>
        </w:rPr>
      </w:pPr>
      <w:r w:rsidRPr="1EF5166C">
        <w:rPr>
          <w:rFonts w:eastAsiaTheme="minorEastAsia"/>
          <w:lang w:val="en-GB"/>
        </w:rPr>
        <w:t>This table shows how much more affordable it is to ‘age-proof’ existing homes</w:t>
      </w:r>
      <w:r w:rsidRPr="00CF7A8F" w:rsidR="00CF7A8F">
        <w:rPr>
          <w:rFonts w:eastAsiaTheme="minorEastAsia"/>
          <w:vertAlign w:val="superscript"/>
          <w:lang w:val="en-GB"/>
        </w:rPr>
        <w:t>5</w:t>
      </w:r>
      <w:r w:rsidRPr="1EF5166C">
        <w:rPr>
          <w:rFonts w:eastAsiaTheme="minorEastAsia"/>
          <w:lang w:val="en-GB"/>
        </w:rPr>
        <w:t xml:space="preserve"> compared to moving into residential care homes (% cost difference)</w:t>
      </w:r>
      <w:r w:rsidR="00CF7A8F">
        <w:rPr>
          <w:rFonts w:eastAsiaTheme="minorEastAsia"/>
          <w:vertAlign w:val="superscript"/>
          <w:lang w:val="en-GB"/>
        </w:rPr>
        <w:t>6</w:t>
      </w:r>
      <w:r w:rsidRPr="1EF5166C">
        <w:rPr>
          <w:rFonts w:eastAsiaTheme="minorEastAsia"/>
          <w:lang w:val="en-GB"/>
        </w:rPr>
        <w:t>. The five-year figures below also include a 3% annual increase in fees for both at-home care and residential care</w:t>
      </w:r>
      <w:r w:rsidR="00CF7A8F">
        <w:rPr>
          <w:rFonts w:eastAsiaTheme="minorEastAsia"/>
          <w:vertAlign w:val="superscript"/>
          <w:lang w:val="en-GB"/>
        </w:rPr>
        <w:t>7</w:t>
      </w:r>
      <w:r w:rsidRPr="1EF5166C">
        <w:rPr>
          <w:rFonts w:eastAsiaTheme="minorEastAsia"/>
          <w:lang w:val="en-GB"/>
        </w:rPr>
        <w:t>:</w:t>
      </w:r>
    </w:p>
    <w:p w:rsidR="00CF7A8F" w:rsidP="1EF5166C" w:rsidRDefault="00CF7A8F" w14:paraId="460F6F43" w14:textId="3AE7CCAE">
      <w:pPr>
        <w:spacing w:beforeAutospacing="1" w:after="60" w:line="240" w:lineRule="auto"/>
        <w:rPr>
          <w:rFonts w:eastAsiaTheme="minorEastAsia"/>
          <w:lang w:val="en-GB"/>
        </w:rPr>
      </w:pPr>
    </w:p>
    <w:p w:rsidR="00CF7A8F" w:rsidP="1EF5166C" w:rsidRDefault="00CF7A8F" w14:paraId="69A401EE" w14:textId="77777777">
      <w:pPr>
        <w:spacing w:beforeAutospacing="1" w:after="60" w:line="240" w:lineRule="auto"/>
        <w:rPr>
          <w:rFonts w:eastAsiaTheme="minorEastAsia"/>
          <w:lang w:val="en-GB"/>
        </w:rPr>
      </w:pPr>
    </w:p>
    <w:p w:rsidR="21A18194" w:rsidP="21A18194" w:rsidRDefault="21A18194" w14:paraId="69D02A3E" w14:textId="43179FB5">
      <w:pPr>
        <w:spacing w:beforeAutospacing="1" w:after="60" w:line="240" w:lineRule="auto"/>
        <w:rPr>
          <w:rFonts w:eastAsiaTheme="minorEastAsia"/>
          <w:lang w:val="en-GB"/>
        </w:rPr>
      </w:pPr>
    </w:p>
    <w:tbl>
      <w:tblPr>
        <w:tblStyle w:val="TableGrid"/>
        <w:tblW w:w="0" w:type="auto"/>
        <w:tblLayout w:type="fixed"/>
        <w:tblLook w:val="06A0" w:firstRow="1" w:lastRow="0" w:firstColumn="1" w:lastColumn="0" w:noHBand="1" w:noVBand="1"/>
      </w:tblPr>
      <w:tblGrid>
        <w:gridCol w:w="1800"/>
        <w:gridCol w:w="1320"/>
        <w:gridCol w:w="1560"/>
        <w:gridCol w:w="1560"/>
        <w:gridCol w:w="1560"/>
        <w:gridCol w:w="1560"/>
      </w:tblGrid>
      <w:tr w:rsidR="21A18194" w:rsidTr="54DDD14F" w14:paraId="1BA6C2EC" w14:textId="77777777">
        <w:tc>
          <w:tcPr>
            <w:tcW w:w="1800" w:type="dxa"/>
            <w:shd w:val="clear" w:color="auto" w:fill="D9E2F3" w:themeFill="accent1" w:themeFillTint="33"/>
            <w:tcMar/>
          </w:tcPr>
          <w:p w:rsidR="21A18194" w:rsidP="21A18194" w:rsidRDefault="21A18194" w14:paraId="4B5ECD35" w14:textId="669CE859">
            <w:pPr>
              <w:rPr>
                <w:rFonts w:eastAsiaTheme="minorEastAsia"/>
                <w:b/>
                <w:bCs/>
                <w:lang w:val="en-GB"/>
              </w:rPr>
            </w:pPr>
            <w:r w:rsidRPr="21A18194">
              <w:rPr>
                <w:rFonts w:eastAsiaTheme="minorEastAsia"/>
                <w:b/>
                <w:bCs/>
                <w:lang w:val="en-GB"/>
              </w:rPr>
              <w:lastRenderedPageBreak/>
              <w:t>UK Region</w:t>
            </w:r>
          </w:p>
        </w:tc>
        <w:tc>
          <w:tcPr>
            <w:tcW w:w="1320" w:type="dxa"/>
            <w:shd w:val="clear" w:color="auto" w:fill="D9E2F3" w:themeFill="accent1" w:themeFillTint="33"/>
            <w:tcMar/>
          </w:tcPr>
          <w:p w:rsidR="21A18194" w:rsidP="21A18194" w:rsidRDefault="21A18194" w14:paraId="3F989398" w14:textId="2ED1E4FC">
            <w:pPr>
              <w:rPr>
                <w:rFonts w:eastAsiaTheme="minorEastAsia"/>
                <w:b/>
                <w:bCs/>
                <w:lang w:val="en-GB"/>
              </w:rPr>
            </w:pPr>
            <w:r w:rsidRPr="21A18194">
              <w:rPr>
                <w:rFonts w:eastAsiaTheme="minorEastAsia"/>
                <w:b/>
                <w:bCs/>
                <w:lang w:val="en-GB"/>
              </w:rPr>
              <w:t>Age-proofing vs residential care home annual fee</w:t>
            </w:r>
          </w:p>
        </w:tc>
        <w:tc>
          <w:tcPr>
            <w:tcW w:w="1560" w:type="dxa"/>
            <w:shd w:val="clear" w:color="auto" w:fill="D9E2F3" w:themeFill="accent1" w:themeFillTint="33"/>
            <w:tcMar/>
          </w:tcPr>
          <w:p w:rsidR="21A18194" w:rsidP="21A18194" w:rsidRDefault="21A18194" w14:paraId="516F2B74" w14:textId="760AC377">
            <w:pPr>
              <w:rPr>
                <w:rFonts w:eastAsiaTheme="minorEastAsia"/>
                <w:b/>
                <w:bCs/>
                <w:lang w:val="en-GB"/>
              </w:rPr>
            </w:pPr>
            <w:r w:rsidRPr="21A18194">
              <w:rPr>
                <w:rFonts w:eastAsiaTheme="minorEastAsia"/>
                <w:b/>
                <w:bCs/>
                <w:lang w:val="en-GB"/>
              </w:rPr>
              <w:t>Age-proofing and PT care vs residential care home annual fee</w:t>
            </w:r>
          </w:p>
        </w:tc>
        <w:tc>
          <w:tcPr>
            <w:tcW w:w="1560" w:type="dxa"/>
            <w:shd w:val="clear" w:color="auto" w:fill="D9E2F3" w:themeFill="accent1" w:themeFillTint="33"/>
            <w:tcMar/>
          </w:tcPr>
          <w:p w:rsidR="21A18194" w:rsidP="21A18194" w:rsidRDefault="21A18194" w14:paraId="2B74AB76" w14:textId="159A49E4">
            <w:pPr>
              <w:rPr>
                <w:rFonts w:eastAsiaTheme="minorEastAsia"/>
                <w:b/>
                <w:bCs/>
                <w:lang w:val="en-GB"/>
              </w:rPr>
            </w:pPr>
            <w:r w:rsidRPr="21A18194">
              <w:rPr>
                <w:rFonts w:eastAsiaTheme="minorEastAsia"/>
                <w:b/>
                <w:bCs/>
                <w:lang w:val="en-GB"/>
              </w:rPr>
              <w:t>Age-proofing and FT care vs residential nursing home annual fee</w:t>
            </w:r>
          </w:p>
        </w:tc>
        <w:tc>
          <w:tcPr>
            <w:tcW w:w="1560" w:type="dxa"/>
            <w:shd w:val="clear" w:color="auto" w:fill="D9E2F3" w:themeFill="accent1" w:themeFillTint="33"/>
            <w:tcMar/>
          </w:tcPr>
          <w:p w:rsidR="21A18194" w:rsidP="21A18194" w:rsidRDefault="21A18194" w14:paraId="7528F31E" w14:textId="736EEA6E">
            <w:pPr>
              <w:rPr>
                <w:rFonts w:eastAsiaTheme="minorEastAsia"/>
                <w:b/>
                <w:bCs/>
                <w:lang w:val="en-GB"/>
              </w:rPr>
            </w:pPr>
            <w:r w:rsidRPr="21A18194">
              <w:rPr>
                <w:rFonts w:eastAsiaTheme="minorEastAsia"/>
                <w:b/>
                <w:bCs/>
                <w:lang w:val="en-GB"/>
              </w:rPr>
              <w:t>Age-proofing and PT care vs residential care home over 5 years</w:t>
            </w:r>
          </w:p>
        </w:tc>
        <w:tc>
          <w:tcPr>
            <w:tcW w:w="1560" w:type="dxa"/>
            <w:shd w:val="clear" w:color="auto" w:fill="D9E2F3" w:themeFill="accent1" w:themeFillTint="33"/>
            <w:tcMar/>
          </w:tcPr>
          <w:p w:rsidR="21A18194" w:rsidP="21A18194" w:rsidRDefault="21A18194" w14:paraId="6F89EE63" w14:textId="50A93907">
            <w:pPr>
              <w:rPr>
                <w:rFonts w:eastAsiaTheme="minorEastAsia"/>
                <w:b/>
                <w:bCs/>
                <w:lang w:val="en-GB"/>
              </w:rPr>
            </w:pPr>
            <w:r w:rsidRPr="21A18194">
              <w:rPr>
                <w:rFonts w:eastAsiaTheme="minorEastAsia"/>
                <w:b/>
                <w:bCs/>
                <w:lang w:val="en-GB"/>
              </w:rPr>
              <w:t>Age-proofing and FT care vs residential nursing care over 5 years</w:t>
            </w:r>
          </w:p>
        </w:tc>
      </w:tr>
      <w:tr w:rsidR="21A18194" w:rsidTr="54DDD14F" w14:paraId="25DEF9D7" w14:textId="77777777">
        <w:tc>
          <w:tcPr>
            <w:tcW w:w="1800" w:type="dxa"/>
            <w:shd w:val="clear" w:color="auto" w:fill="F2F2F2" w:themeFill="background1" w:themeFillShade="F2"/>
            <w:tcMar/>
          </w:tcPr>
          <w:p w:rsidR="21A18194" w:rsidP="21A18194" w:rsidRDefault="21A18194" w14:paraId="57E50639" w14:textId="34E1F3E5">
            <w:pPr>
              <w:rPr>
                <w:rFonts w:eastAsiaTheme="minorEastAsia"/>
                <w:lang w:val="en-GB"/>
              </w:rPr>
            </w:pPr>
            <w:r w:rsidRPr="21A18194">
              <w:rPr>
                <w:rFonts w:eastAsiaTheme="minorEastAsia"/>
                <w:lang w:val="en-GB"/>
              </w:rPr>
              <w:t>South East</w:t>
            </w:r>
          </w:p>
        </w:tc>
        <w:tc>
          <w:tcPr>
            <w:tcW w:w="1320" w:type="dxa"/>
            <w:tcMar/>
          </w:tcPr>
          <w:p w:rsidR="21A18194" w:rsidP="21A18194" w:rsidRDefault="21A18194" w14:paraId="4237A1F2" w14:textId="28C07A70">
            <w:pPr>
              <w:rPr>
                <w:rFonts w:eastAsiaTheme="minorEastAsia"/>
                <w:lang w:val="en-GB"/>
              </w:rPr>
            </w:pPr>
            <w:r w:rsidRPr="21A18194">
              <w:rPr>
                <w:rFonts w:eastAsiaTheme="minorEastAsia"/>
                <w:lang w:val="en-GB"/>
              </w:rPr>
              <w:t>67%</w:t>
            </w:r>
          </w:p>
        </w:tc>
        <w:tc>
          <w:tcPr>
            <w:tcW w:w="1560" w:type="dxa"/>
            <w:tcMar/>
          </w:tcPr>
          <w:p w:rsidR="21A18194" w:rsidP="21A18194" w:rsidRDefault="21A18194" w14:paraId="3A1CF960" w14:textId="446EB62C">
            <w:pPr>
              <w:rPr>
                <w:rFonts w:eastAsiaTheme="minorEastAsia"/>
                <w:lang w:val="en-GB"/>
              </w:rPr>
            </w:pPr>
            <w:r w:rsidRPr="21A18194">
              <w:rPr>
                <w:rFonts w:eastAsiaTheme="minorEastAsia"/>
                <w:lang w:val="en-GB"/>
              </w:rPr>
              <w:t>38%</w:t>
            </w:r>
          </w:p>
        </w:tc>
        <w:tc>
          <w:tcPr>
            <w:tcW w:w="1560" w:type="dxa"/>
            <w:tcMar/>
          </w:tcPr>
          <w:p w:rsidR="21A18194" w:rsidP="54DDD14F" w:rsidRDefault="21A18194" w14:paraId="4D38D36A" w14:textId="46B33D45">
            <w:pPr>
              <w:rPr>
                <w:rFonts w:eastAsia="" w:eastAsiaTheme="minorEastAsia"/>
                <w:lang w:val="en-GB"/>
              </w:rPr>
            </w:pPr>
            <w:r w:rsidRPr="54DDD14F" w:rsidR="54DDD14F">
              <w:rPr>
                <w:rFonts w:eastAsia="" w:eastAsiaTheme="minorEastAsia"/>
                <w:lang w:val="en-GB"/>
              </w:rPr>
              <w:t>21</w:t>
            </w:r>
            <w:r w:rsidRPr="54DDD14F" w:rsidR="54DDD14F">
              <w:rPr>
                <w:rFonts w:eastAsia="" w:eastAsiaTheme="minorEastAsia"/>
                <w:lang w:val="en-GB"/>
              </w:rPr>
              <w:t>%</w:t>
            </w:r>
          </w:p>
        </w:tc>
        <w:tc>
          <w:tcPr>
            <w:tcW w:w="1560" w:type="dxa"/>
            <w:tcMar/>
          </w:tcPr>
          <w:p w:rsidR="21A18194" w:rsidP="1EF5166C" w:rsidRDefault="1EF5166C" w14:paraId="5CAEC557" w14:textId="785F0268">
            <w:pPr>
              <w:rPr>
                <w:rFonts w:eastAsiaTheme="minorEastAsia"/>
                <w:lang w:val="en-GB"/>
              </w:rPr>
            </w:pPr>
            <w:r w:rsidRPr="1EF5166C">
              <w:rPr>
                <w:rFonts w:eastAsiaTheme="minorEastAsia"/>
                <w:lang w:val="en-GB"/>
              </w:rPr>
              <w:t>67%</w:t>
            </w:r>
          </w:p>
        </w:tc>
        <w:tc>
          <w:tcPr>
            <w:tcW w:w="1560" w:type="dxa"/>
            <w:tcMar/>
          </w:tcPr>
          <w:p w:rsidR="21A18194" w:rsidP="54DDD14F" w:rsidRDefault="1EF5166C" w14:paraId="092F1D32" w14:textId="4DFCD489">
            <w:pPr>
              <w:rPr>
                <w:rFonts w:eastAsia="" w:eastAsiaTheme="minorEastAsia"/>
                <w:lang w:val="en-GB"/>
              </w:rPr>
            </w:pPr>
            <w:r w:rsidRPr="54DDD14F" w:rsidR="54DDD14F">
              <w:rPr>
                <w:rFonts w:eastAsia="" w:eastAsiaTheme="minorEastAsia"/>
                <w:lang w:val="en-GB"/>
              </w:rPr>
              <w:t>4</w:t>
            </w:r>
            <w:r w:rsidRPr="54DDD14F" w:rsidR="54DDD14F">
              <w:rPr>
                <w:rFonts w:eastAsia="" w:eastAsiaTheme="minorEastAsia"/>
                <w:lang w:val="en-GB"/>
              </w:rPr>
              <w:t>2</w:t>
            </w:r>
            <w:r w:rsidRPr="54DDD14F" w:rsidR="54DDD14F">
              <w:rPr>
                <w:rFonts w:eastAsia="" w:eastAsiaTheme="minorEastAsia"/>
                <w:lang w:val="en-GB"/>
              </w:rPr>
              <w:t>%</w:t>
            </w:r>
          </w:p>
        </w:tc>
      </w:tr>
      <w:tr w:rsidR="21A18194" w:rsidTr="54DDD14F" w14:paraId="628BA8BA" w14:textId="77777777">
        <w:tc>
          <w:tcPr>
            <w:tcW w:w="1800" w:type="dxa"/>
            <w:shd w:val="clear" w:color="auto" w:fill="F2F2F2" w:themeFill="background1" w:themeFillShade="F2"/>
            <w:tcMar/>
          </w:tcPr>
          <w:p w:rsidR="21A18194" w:rsidP="21A18194" w:rsidRDefault="21A18194" w14:paraId="579D6F04" w14:textId="68405E76">
            <w:pPr>
              <w:rPr>
                <w:rFonts w:eastAsiaTheme="minorEastAsia"/>
                <w:lang w:val="en-GB"/>
              </w:rPr>
            </w:pPr>
            <w:r w:rsidRPr="21A18194">
              <w:rPr>
                <w:rFonts w:eastAsiaTheme="minorEastAsia"/>
                <w:lang w:val="en-GB"/>
              </w:rPr>
              <w:t>East Anglia</w:t>
            </w:r>
          </w:p>
        </w:tc>
        <w:tc>
          <w:tcPr>
            <w:tcW w:w="1320" w:type="dxa"/>
            <w:tcMar/>
          </w:tcPr>
          <w:p w:rsidR="21A18194" w:rsidP="21A18194" w:rsidRDefault="21A18194" w14:paraId="1A2FD08A" w14:textId="1935FA0C">
            <w:pPr>
              <w:rPr>
                <w:rFonts w:eastAsiaTheme="minorEastAsia"/>
                <w:lang w:val="en-GB"/>
              </w:rPr>
            </w:pPr>
            <w:r w:rsidRPr="21A18194">
              <w:rPr>
                <w:rFonts w:eastAsiaTheme="minorEastAsia"/>
                <w:lang w:val="en-GB"/>
              </w:rPr>
              <w:t>73%</w:t>
            </w:r>
          </w:p>
        </w:tc>
        <w:tc>
          <w:tcPr>
            <w:tcW w:w="1560" w:type="dxa"/>
            <w:tcMar/>
          </w:tcPr>
          <w:p w:rsidR="21A18194" w:rsidP="54DDD14F" w:rsidRDefault="21A18194" w14:paraId="1CC6C7A3" w14:textId="277F69B7">
            <w:pPr>
              <w:rPr>
                <w:rFonts w:eastAsia="" w:eastAsiaTheme="minorEastAsia"/>
                <w:lang w:val="en-GB"/>
              </w:rPr>
            </w:pPr>
            <w:r w:rsidRPr="54DDD14F" w:rsidR="54DDD14F">
              <w:rPr>
                <w:rFonts w:eastAsia="" w:eastAsiaTheme="minorEastAsia"/>
                <w:lang w:val="en-GB"/>
              </w:rPr>
              <w:t>4</w:t>
            </w:r>
            <w:r w:rsidRPr="54DDD14F" w:rsidR="54DDD14F">
              <w:rPr>
                <w:rFonts w:eastAsia="" w:eastAsiaTheme="minorEastAsia"/>
                <w:lang w:val="en-GB"/>
              </w:rPr>
              <w:t>2</w:t>
            </w:r>
            <w:r w:rsidRPr="54DDD14F" w:rsidR="54DDD14F">
              <w:rPr>
                <w:rFonts w:eastAsia="" w:eastAsiaTheme="minorEastAsia"/>
                <w:lang w:val="en-GB"/>
              </w:rPr>
              <w:t>%</w:t>
            </w:r>
          </w:p>
        </w:tc>
        <w:tc>
          <w:tcPr>
            <w:tcW w:w="1560" w:type="dxa"/>
            <w:tcMar/>
          </w:tcPr>
          <w:p w:rsidR="21A18194" w:rsidP="54DDD14F" w:rsidRDefault="21A18194" w14:paraId="5DBEE9B6" w14:textId="3CBEA041">
            <w:pPr>
              <w:rPr>
                <w:rFonts w:eastAsia="" w:eastAsiaTheme="minorEastAsia"/>
                <w:lang w:val="en-GB"/>
              </w:rPr>
            </w:pPr>
            <w:r w:rsidRPr="54DDD14F" w:rsidR="54DDD14F">
              <w:rPr>
                <w:rFonts w:eastAsia="" w:eastAsiaTheme="minorEastAsia"/>
                <w:lang w:val="en-GB"/>
              </w:rPr>
              <w:t>2</w:t>
            </w:r>
            <w:r w:rsidRPr="54DDD14F" w:rsidR="54DDD14F">
              <w:rPr>
                <w:rFonts w:eastAsia="" w:eastAsiaTheme="minorEastAsia"/>
                <w:lang w:val="en-GB"/>
              </w:rPr>
              <w:t>4</w:t>
            </w:r>
            <w:r w:rsidRPr="54DDD14F" w:rsidR="54DDD14F">
              <w:rPr>
                <w:rFonts w:eastAsia="" w:eastAsiaTheme="minorEastAsia"/>
                <w:lang w:val="en-GB"/>
              </w:rPr>
              <w:t>%</w:t>
            </w:r>
          </w:p>
        </w:tc>
        <w:tc>
          <w:tcPr>
            <w:tcW w:w="1560" w:type="dxa"/>
            <w:tcMar/>
          </w:tcPr>
          <w:p w:rsidR="21A18194" w:rsidP="1EF5166C" w:rsidRDefault="1EF5166C" w14:paraId="6F045F5D" w14:textId="647064D5">
            <w:pPr>
              <w:rPr>
                <w:rFonts w:eastAsiaTheme="minorEastAsia"/>
                <w:lang w:val="en-GB"/>
              </w:rPr>
            </w:pPr>
            <w:r w:rsidRPr="1EF5166C">
              <w:rPr>
                <w:rFonts w:eastAsiaTheme="minorEastAsia"/>
                <w:lang w:val="en-GB"/>
              </w:rPr>
              <w:t>66%</w:t>
            </w:r>
          </w:p>
        </w:tc>
        <w:tc>
          <w:tcPr>
            <w:tcW w:w="1560" w:type="dxa"/>
            <w:tcMar/>
          </w:tcPr>
          <w:p w:rsidR="21A18194" w:rsidP="54DDD14F" w:rsidRDefault="1EF5166C" w14:paraId="0FAEA37B" w14:textId="5BF5938F">
            <w:pPr>
              <w:rPr>
                <w:rFonts w:eastAsia="" w:eastAsiaTheme="minorEastAsia"/>
                <w:lang w:val="en-GB"/>
              </w:rPr>
            </w:pPr>
            <w:r w:rsidRPr="54DDD14F" w:rsidR="54DDD14F">
              <w:rPr>
                <w:rFonts w:eastAsia="" w:eastAsiaTheme="minorEastAsia"/>
                <w:lang w:val="en-GB"/>
              </w:rPr>
              <w:t>41</w:t>
            </w:r>
            <w:r w:rsidRPr="54DDD14F" w:rsidR="54DDD14F">
              <w:rPr>
                <w:rFonts w:eastAsia="" w:eastAsiaTheme="minorEastAsia"/>
                <w:lang w:val="en-GB"/>
              </w:rPr>
              <w:t>%</w:t>
            </w:r>
          </w:p>
        </w:tc>
      </w:tr>
      <w:tr w:rsidR="21A18194" w:rsidTr="54DDD14F" w14:paraId="5EB01834" w14:textId="77777777">
        <w:tc>
          <w:tcPr>
            <w:tcW w:w="1800" w:type="dxa"/>
            <w:shd w:val="clear" w:color="auto" w:fill="F2F2F2" w:themeFill="background1" w:themeFillShade="F2"/>
            <w:tcMar/>
          </w:tcPr>
          <w:p w:rsidR="21A18194" w:rsidP="21A18194" w:rsidRDefault="21A18194" w14:paraId="7E1CD93D" w14:textId="10755477">
            <w:pPr>
              <w:rPr>
                <w:rFonts w:eastAsiaTheme="minorEastAsia"/>
                <w:lang w:val="en-GB"/>
              </w:rPr>
            </w:pPr>
            <w:r w:rsidRPr="21A18194">
              <w:rPr>
                <w:rFonts w:eastAsiaTheme="minorEastAsia"/>
                <w:lang w:val="en-GB"/>
              </w:rPr>
              <w:t>London</w:t>
            </w:r>
          </w:p>
        </w:tc>
        <w:tc>
          <w:tcPr>
            <w:tcW w:w="1320" w:type="dxa"/>
            <w:tcMar/>
          </w:tcPr>
          <w:p w:rsidR="21A18194" w:rsidP="21A18194" w:rsidRDefault="21A18194" w14:paraId="53314045" w14:textId="2D8924E7">
            <w:pPr>
              <w:rPr>
                <w:rFonts w:eastAsiaTheme="minorEastAsia"/>
                <w:lang w:val="en-GB"/>
              </w:rPr>
            </w:pPr>
            <w:r w:rsidRPr="21A18194">
              <w:rPr>
                <w:rFonts w:eastAsiaTheme="minorEastAsia"/>
                <w:lang w:val="en-GB"/>
              </w:rPr>
              <w:t>66%</w:t>
            </w:r>
          </w:p>
        </w:tc>
        <w:tc>
          <w:tcPr>
            <w:tcW w:w="1560" w:type="dxa"/>
            <w:tcMar/>
          </w:tcPr>
          <w:p w:rsidR="21A18194" w:rsidP="54DDD14F" w:rsidRDefault="21A18194" w14:paraId="5C97CEE3" w14:textId="0F6C194A">
            <w:pPr>
              <w:rPr>
                <w:rFonts w:eastAsia="" w:eastAsiaTheme="minorEastAsia"/>
                <w:lang w:val="en-GB"/>
              </w:rPr>
            </w:pPr>
            <w:r w:rsidRPr="54DDD14F" w:rsidR="54DDD14F">
              <w:rPr>
                <w:rFonts w:eastAsia="" w:eastAsiaTheme="minorEastAsia"/>
                <w:lang w:val="en-GB"/>
              </w:rPr>
              <w:t>3</w:t>
            </w:r>
            <w:r w:rsidRPr="54DDD14F" w:rsidR="54DDD14F">
              <w:rPr>
                <w:rFonts w:eastAsia="" w:eastAsiaTheme="minorEastAsia"/>
                <w:lang w:val="en-GB"/>
              </w:rPr>
              <w:t>7</w:t>
            </w:r>
            <w:r w:rsidRPr="54DDD14F" w:rsidR="54DDD14F">
              <w:rPr>
                <w:rFonts w:eastAsia="" w:eastAsiaTheme="minorEastAsia"/>
                <w:lang w:val="en-GB"/>
              </w:rPr>
              <w:t>%</w:t>
            </w:r>
          </w:p>
        </w:tc>
        <w:tc>
          <w:tcPr>
            <w:tcW w:w="1560" w:type="dxa"/>
            <w:tcMar/>
          </w:tcPr>
          <w:p w:rsidR="21A18194" w:rsidP="54DDD14F" w:rsidRDefault="21A18194" w14:paraId="7C182BE7" w14:textId="0C4BA892">
            <w:pPr>
              <w:rPr>
                <w:rFonts w:eastAsia="" w:eastAsiaTheme="minorEastAsia"/>
                <w:lang w:val="en-GB"/>
              </w:rPr>
            </w:pPr>
            <w:r w:rsidRPr="54DDD14F" w:rsidR="54DDD14F">
              <w:rPr>
                <w:rFonts w:eastAsia="" w:eastAsiaTheme="minorEastAsia"/>
                <w:lang w:val="en-GB"/>
              </w:rPr>
              <w:t>1</w:t>
            </w:r>
            <w:r w:rsidRPr="54DDD14F" w:rsidR="54DDD14F">
              <w:rPr>
                <w:rFonts w:eastAsia="" w:eastAsiaTheme="minorEastAsia"/>
                <w:lang w:val="en-GB"/>
              </w:rPr>
              <w:t>2</w:t>
            </w:r>
            <w:r w:rsidRPr="54DDD14F" w:rsidR="54DDD14F">
              <w:rPr>
                <w:rFonts w:eastAsia="" w:eastAsiaTheme="minorEastAsia"/>
                <w:lang w:val="en-GB"/>
              </w:rPr>
              <w:t>%</w:t>
            </w:r>
          </w:p>
        </w:tc>
        <w:tc>
          <w:tcPr>
            <w:tcW w:w="1560" w:type="dxa"/>
            <w:tcMar/>
          </w:tcPr>
          <w:p w:rsidR="21A18194" w:rsidP="1EF5166C" w:rsidRDefault="1EF5166C" w14:paraId="60132481" w14:textId="6E3724B4">
            <w:pPr>
              <w:rPr>
                <w:rFonts w:eastAsiaTheme="minorEastAsia"/>
                <w:lang w:val="en-GB"/>
              </w:rPr>
            </w:pPr>
            <w:r w:rsidRPr="1EF5166C">
              <w:rPr>
                <w:rFonts w:eastAsiaTheme="minorEastAsia"/>
                <w:lang w:val="en-GB"/>
              </w:rPr>
              <w:t>67%</w:t>
            </w:r>
          </w:p>
        </w:tc>
        <w:tc>
          <w:tcPr>
            <w:tcW w:w="1560" w:type="dxa"/>
            <w:tcMar/>
          </w:tcPr>
          <w:p w:rsidR="21A18194" w:rsidP="54DDD14F" w:rsidRDefault="1EF5166C" w14:paraId="3DBBA843" w14:textId="041AEF92">
            <w:pPr>
              <w:rPr>
                <w:rFonts w:eastAsia="" w:eastAsiaTheme="minorEastAsia"/>
                <w:lang w:val="en-GB"/>
              </w:rPr>
            </w:pPr>
            <w:r w:rsidRPr="54DDD14F" w:rsidR="54DDD14F">
              <w:rPr>
                <w:rFonts w:eastAsia="" w:eastAsiaTheme="minorEastAsia"/>
                <w:lang w:val="en-GB"/>
              </w:rPr>
              <w:t>3</w:t>
            </w:r>
            <w:r w:rsidRPr="54DDD14F" w:rsidR="54DDD14F">
              <w:rPr>
                <w:rFonts w:eastAsia="" w:eastAsiaTheme="minorEastAsia"/>
                <w:lang w:val="en-GB"/>
              </w:rPr>
              <w:t>6</w:t>
            </w:r>
            <w:r w:rsidRPr="54DDD14F" w:rsidR="54DDD14F">
              <w:rPr>
                <w:rFonts w:eastAsia="" w:eastAsiaTheme="minorEastAsia"/>
                <w:lang w:val="en-GB"/>
              </w:rPr>
              <w:t>%</w:t>
            </w:r>
          </w:p>
        </w:tc>
      </w:tr>
      <w:tr w:rsidR="21A18194" w:rsidTr="54DDD14F" w14:paraId="59B0ABCB" w14:textId="77777777">
        <w:tc>
          <w:tcPr>
            <w:tcW w:w="1800" w:type="dxa"/>
            <w:shd w:val="clear" w:color="auto" w:fill="F2F2F2" w:themeFill="background1" w:themeFillShade="F2"/>
            <w:tcMar/>
          </w:tcPr>
          <w:p w:rsidR="21A18194" w:rsidP="21A18194" w:rsidRDefault="21A18194" w14:paraId="0B7949AE" w14:textId="6148D37F">
            <w:pPr>
              <w:rPr>
                <w:rFonts w:eastAsiaTheme="minorEastAsia"/>
                <w:lang w:val="en-GB"/>
              </w:rPr>
            </w:pPr>
            <w:r w:rsidRPr="21A18194">
              <w:rPr>
                <w:rFonts w:eastAsiaTheme="minorEastAsia"/>
                <w:lang w:val="en-GB"/>
              </w:rPr>
              <w:t>South West</w:t>
            </w:r>
          </w:p>
        </w:tc>
        <w:tc>
          <w:tcPr>
            <w:tcW w:w="1320" w:type="dxa"/>
            <w:tcMar/>
          </w:tcPr>
          <w:p w:rsidR="21A18194" w:rsidP="54DDD14F" w:rsidRDefault="21A18194" w14:paraId="00A8B26D" w14:textId="64DECDDC">
            <w:pPr>
              <w:rPr>
                <w:rFonts w:eastAsia="" w:eastAsiaTheme="minorEastAsia"/>
                <w:lang w:val="en-GB"/>
              </w:rPr>
            </w:pPr>
            <w:r w:rsidRPr="54DDD14F" w:rsidR="54DDD14F">
              <w:rPr>
                <w:rFonts w:eastAsia="" w:eastAsiaTheme="minorEastAsia"/>
                <w:lang w:val="en-GB"/>
              </w:rPr>
              <w:t>6</w:t>
            </w:r>
            <w:r w:rsidRPr="54DDD14F" w:rsidR="54DDD14F">
              <w:rPr>
                <w:rFonts w:eastAsia="" w:eastAsiaTheme="minorEastAsia"/>
                <w:lang w:val="en-GB"/>
              </w:rPr>
              <w:t>5</w:t>
            </w:r>
            <w:r w:rsidRPr="54DDD14F" w:rsidR="54DDD14F">
              <w:rPr>
                <w:rFonts w:eastAsia="" w:eastAsiaTheme="minorEastAsia"/>
                <w:lang w:val="en-GB"/>
              </w:rPr>
              <w:t>%</w:t>
            </w:r>
          </w:p>
        </w:tc>
        <w:tc>
          <w:tcPr>
            <w:tcW w:w="1560" w:type="dxa"/>
            <w:tcMar/>
          </w:tcPr>
          <w:p w:rsidR="21A18194" w:rsidP="54DDD14F" w:rsidRDefault="21A18194" w14:paraId="273AA15A" w14:textId="1988FD5A">
            <w:pPr>
              <w:rPr>
                <w:rFonts w:eastAsia="" w:eastAsiaTheme="minorEastAsia"/>
                <w:lang w:val="en-GB"/>
              </w:rPr>
            </w:pPr>
            <w:r w:rsidRPr="54DDD14F" w:rsidR="54DDD14F">
              <w:rPr>
                <w:rFonts w:eastAsia="" w:eastAsiaTheme="minorEastAsia"/>
                <w:lang w:val="en-GB"/>
              </w:rPr>
              <w:t>3</w:t>
            </w:r>
            <w:r w:rsidRPr="54DDD14F" w:rsidR="54DDD14F">
              <w:rPr>
                <w:rFonts w:eastAsia="" w:eastAsiaTheme="minorEastAsia"/>
                <w:lang w:val="en-GB"/>
              </w:rPr>
              <w:t>3%</w:t>
            </w:r>
          </w:p>
        </w:tc>
        <w:tc>
          <w:tcPr>
            <w:tcW w:w="1560" w:type="dxa"/>
            <w:tcMar/>
          </w:tcPr>
          <w:p w:rsidR="21A18194" w:rsidP="54DDD14F" w:rsidRDefault="21A18194" w14:paraId="39965E3C" w14:textId="59605DA7">
            <w:pPr>
              <w:rPr>
                <w:rFonts w:eastAsia="" w:eastAsiaTheme="minorEastAsia"/>
                <w:lang w:val="en-GB"/>
              </w:rPr>
            </w:pPr>
            <w:r w:rsidRPr="54DDD14F" w:rsidR="54DDD14F">
              <w:rPr>
                <w:rFonts w:eastAsia="" w:eastAsiaTheme="minorEastAsia"/>
                <w:lang w:val="en-GB"/>
              </w:rPr>
              <w:t>1</w:t>
            </w:r>
            <w:r w:rsidRPr="54DDD14F" w:rsidR="54DDD14F">
              <w:rPr>
                <w:rFonts w:eastAsia="" w:eastAsiaTheme="minorEastAsia"/>
                <w:lang w:val="en-GB"/>
              </w:rPr>
              <w:t>7</w:t>
            </w:r>
            <w:r w:rsidRPr="54DDD14F" w:rsidR="54DDD14F">
              <w:rPr>
                <w:rFonts w:eastAsia="" w:eastAsiaTheme="minorEastAsia"/>
                <w:lang w:val="en-GB"/>
              </w:rPr>
              <w:t>%</w:t>
            </w:r>
          </w:p>
        </w:tc>
        <w:tc>
          <w:tcPr>
            <w:tcW w:w="1560" w:type="dxa"/>
            <w:tcMar/>
          </w:tcPr>
          <w:p w:rsidR="21A18194" w:rsidP="1EF5166C" w:rsidRDefault="1EF5166C" w14:paraId="0724B534" w14:textId="6AC0B109">
            <w:pPr>
              <w:rPr>
                <w:rFonts w:eastAsiaTheme="minorEastAsia"/>
                <w:lang w:val="en-GB"/>
              </w:rPr>
            </w:pPr>
            <w:r w:rsidRPr="1EF5166C">
              <w:rPr>
                <w:rFonts w:eastAsiaTheme="minorEastAsia"/>
                <w:lang w:val="en-GB"/>
              </w:rPr>
              <w:t>64%</w:t>
            </w:r>
          </w:p>
        </w:tc>
        <w:tc>
          <w:tcPr>
            <w:tcW w:w="1560" w:type="dxa"/>
            <w:tcMar/>
          </w:tcPr>
          <w:p w:rsidR="21A18194" w:rsidP="54DDD14F" w:rsidRDefault="1EF5166C" w14:paraId="50BBECDC" w14:textId="70BAB4D1">
            <w:pPr>
              <w:rPr>
                <w:rFonts w:eastAsia="" w:eastAsiaTheme="minorEastAsia"/>
                <w:lang w:val="en-GB"/>
              </w:rPr>
            </w:pPr>
            <w:r w:rsidRPr="54DDD14F" w:rsidR="54DDD14F">
              <w:rPr>
                <w:rFonts w:eastAsia="" w:eastAsiaTheme="minorEastAsia"/>
                <w:lang w:val="en-GB"/>
              </w:rPr>
              <w:t>3</w:t>
            </w:r>
            <w:r w:rsidRPr="54DDD14F" w:rsidR="54DDD14F">
              <w:rPr>
                <w:rFonts w:eastAsia="" w:eastAsiaTheme="minorEastAsia"/>
                <w:lang w:val="en-GB"/>
              </w:rPr>
              <w:t>8</w:t>
            </w:r>
            <w:r w:rsidRPr="54DDD14F" w:rsidR="54DDD14F">
              <w:rPr>
                <w:rFonts w:eastAsia="" w:eastAsiaTheme="minorEastAsia"/>
                <w:lang w:val="en-GB"/>
              </w:rPr>
              <w:t>%</w:t>
            </w:r>
          </w:p>
        </w:tc>
      </w:tr>
      <w:tr w:rsidR="21A18194" w:rsidTr="54DDD14F" w14:paraId="03E0910A" w14:textId="77777777">
        <w:tc>
          <w:tcPr>
            <w:tcW w:w="1800" w:type="dxa"/>
            <w:shd w:val="clear" w:color="auto" w:fill="F2F2F2" w:themeFill="background1" w:themeFillShade="F2"/>
            <w:tcMar/>
          </w:tcPr>
          <w:p w:rsidR="21A18194" w:rsidP="21A18194" w:rsidRDefault="21A18194" w14:paraId="500ABF0F" w14:textId="655A1D1E">
            <w:pPr>
              <w:rPr>
                <w:rFonts w:eastAsiaTheme="minorEastAsia"/>
                <w:lang w:val="en-GB"/>
              </w:rPr>
            </w:pPr>
            <w:r w:rsidRPr="21A18194">
              <w:rPr>
                <w:rFonts w:eastAsiaTheme="minorEastAsia"/>
                <w:lang w:val="en-GB"/>
              </w:rPr>
              <w:t>West Midlands</w:t>
            </w:r>
          </w:p>
        </w:tc>
        <w:tc>
          <w:tcPr>
            <w:tcW w:w="1320" w:type="dxa"/>
            <w:tcMar/>
          </w:tcPr>
          <w:p w:rsidR="21A18194" w:rsidP="21A18194" w:rsidRDefault="21A18194" w14:paraId="15D0162B" w14:textId="14EAF8A0">
            <w:pPr>
              <w:rPr>
                <w:rFonts w:eastAsiaTheme="minorEastAsia"/>
                <w:lang w:val="en-GB"/>
              </w:rPr>
            </w:pPr>
            <w:r w:rsidRPr="21A18194">
              <w:rPr>
                <w:rFonts w:eastAsiaTheme="minorEastAsia"/>
                <w:lang w:val="en-GB"/>
              </w:rPr>
              <w:t>56%</w:t>
            </w:r>
          </w:p>
        </w:tc>
        <w:tc>
          <w:tcPr>
            <w:tcW w:w="1560" w:type="dxa"/>
            <w:tcMar/>
          </w:tcPr>
          <w:p w:rsidR="21A18194" w:rsidP="54DDD14F" w:rsidRDefault="21A18194" w14:paraId="3DF3D2F0" w14:textId="22D09083">
            <w:pPr>
              <w:rPr>
                <w:rFonts w:eastAsia="" w:eastAsiaTheme="minorEastAsia"/>
                <w:lang w:val="en-GB"/>
              </w:rPr>
            </w:pPr>
            <w:r w:rsidRPr="54DDD14F" w:rsidR="54DDD14F">
              <w:rPr>
                <w:rFonts w:eastAsia="" w:eastAsiaTheme="minorEastAsia"/>
                <w:lang w:val="en-GB"/>
              </w:rPr>
              <w:t>20</w:t>
            </w:r>
            <w:r w:rsidRPr="54DDD14F" w:rsidR="54DDD14F">
              <w:rPr>
                <w:rFonts w:eastAsia="" w:eastAsiaTheme="minorEastAsia"/>
                <w:lang w:val="en-GB"/>
              </w:rPr>
              <w:t>%</w:t>
            </w:r>
          </w:p>
        </w:tc>
        <w:tc>
          <w:tcPr>
            <w:tcW w:w="1560" w:type="dxa"/>
            <w:tcMar/>
          </w:tcPr>
          <w:p w:rsidR="21A18194" w:rsidP="54DDD14F" w:rsidRDefault="21A18194" w14:paraId="21DC4714" w14:textId="341594BC">
            <w:pPr>
              <w:rPr>
                <w:rFonts w:eastAsia="" w:eastAsiaTheme="minorEastAsia"/>
                <w:lang w:val="en-GB"/>
              </w:rPr>
            </w:pPr>
            <w:r w:rsidRPr="54DDD14F" w:rsidR="54DDD14F">
              <w:rPr>
                <w:rFonts w:eastAsia="" w:eastAsiaTheme="minorEastAsia"/>
                <w:lang w:val="en-GB"/>
              </w:rPr>
              <w:t>5</w:t>
            </w:r>
            <w:r w:rsidRPr="54DDD14F" w:rsidR="54DDD14F">
              <w:rPr>
                <w:rFonts w:eastAsia="" w:eastAsiaTheme="minorEastAsia"/>
                <w:lang w:val="en-GB"/>
              </w:rPr>
              <w:t>%</w:t>
            </w:r>
          </w:p>
        </w:tc>
        <w:tc>
          <w:tcPr>
            <w:tcW w:w="1560" w:type="dxa"/>
            <w:tcMar/>
          </w:tcPr>
          <w:p w:rsidR="21A18194" w:rsidP="1EF5166C" w:rsidRDefault="1EF5166C" w14:paraId="64CD62F1" w14:textId="73946A17">
            <w:pPr>
              <w:rPr>
                <w:rFonts w:eastAsiaTheme="minorEastAsia"/>
                <w:lang w:val="en-GB"/>
              </w:rPr>
            </w:pPr>
            <w:r w:rsidRPr="1EF5166C">
              <w:rPr>
                <w:rFonts w:eastAsiaTheme="minorEastAsia"/>
                <w:lang w:val="en-GB"/>
              </w:rPr>
              <w:t>58%</w:t>
            </w:r>
          </w:p>
        </w:tc>
        <w:tc>
          <w:tcPr>
            <w:tcW w:w="1560" w:type="dxa"/>
            <w:tcMar/>
          </w:tcPr>
          <w:p w:rsidR="21A18194" w:rsidP="54DDD14F" w:rsidRDefault="1EF5166C" w14:paraId="4F9B5915" w14:textId="316B154E">
            <w:pPr>
              <w:rPr>
                <w:rFonts w:eastAsia="" w:eastAsiaTheme="minorEastAsia"/>
                <w:lang w:val="en-GB"/>
              </w:rPr>
            </w:pPr>
            <w:r w:rsidRPr="54DDD14F" w:rsidR="54DDD14F">
              <w:rPr>
                <w:rFonts w:eastAsia="" w:eastAsiaTheme="minorEastAsia"/>
                <w:lang w:val="en-GB"/>
              </w:rPr>
              <w:t>31</w:t>
            </w:r>
            <w:r w:rsidRPr="54DDD14F" w:rsidR="54DDD14F">
              <w:rPr>
                <w:rFonts w:eastAsia="" w:eastAsiaTheme="minorEastAsia"/>
                <w:lang w:val="en-GB"/>
              </w:rPr>
              <w:t>%</w:t>
            </w:r>
          </w:p>
        </w:tc>
      </w:tr>
      <w:tr w:rsidR="21A18194" w:rsidTr="54DDD14F" w14:paraId="6D59FB6E" w14:textId="77777777">
        <w:tc>
          <w:tcPr>
            <w:tcW w:w="1800" w:type="dxa"/>
            <w:shd w:val="clear" w:color="auto" w:fill="F2F2F2" w:themeFill="background1" w:themeFillShade="F2"/>
            <w:tcMar/>
          </w:tcPr>
          <w:p w:rsidR="21A18194" w:rsidP="21A18194" w:rsidRDefault="21A18194" w14:paraId="25A7F51E" w14:textId="6B9BB7E6">
            <w:pPr>
              <w:rPr>
                <w:rFonts w:eastAsiaTheme="minorEastAsia"/>
                <w:lang w:val="en-GB"/>
              </w:rPr>
            </w:pPr>
            <w:r w:rsidRPr="21A18194">
              <w:rPr>
                <w:rFonts w:eastAsiaTheme="minorEastAsia"/>
                <w:lang w:val="en-GB"/>
              </w:rPr>
              <w:t>East Midlands</w:t>
            </w:r>
          </w:p>
        </w:tc>
        <w:tc>
          <w:tcPr>
            <w:tcW w:w="1320" w:type="dxa"/>
            <w:tcMar/>
          </w:tcPr>
          <w:p w:rsidR="21A18194" w:rsidP="54DDD14F" w:rsidRDefault="21A18194" w14:paraId="5DEA456F" w14:textId="7A170EFD">
            <w:pPr>
              <w:rPr>
                <w:rFonts w:eastAsia="" w:eastAsiaTheme="minorEastAsia"/>
                <w:lang w:val="en-GB"/>
              </w:rPr>
            </w:pPr>
            <w:r w:rsidRPr="54DDD14F" w:rsidR="54DDD14F">
              <w:rPr>
                <w:rFonts w:eastAsia="" w:eastAsiaTheme="minorEastAsia"/>
                <w:lang w:val="en-GB"/>
              </w:rPr>
              <w:t>6</w:t>
            </w:r>
            <w:r w:rsidRPr="54DDD14F" w:rsidR="54DDD14F">
              <w:rPr>
                <w:rFonts w:eastAsia="" w:eastAsiaTheme="minorEastAsia"/>
                <w:lang w:val="en-GB"/>
              </w:rPr>
              <w:t>9</w:t>
            </w:r>
            <w:r w:rsidRPr="54DDD14F" w:rsidR="54DDD14F">
              <w:rPr>
                <w:rFonts w:eastAsia="" w:eastAsiaTheme="minorEastAsia"/>
                <w:lang w:val="en-GB"/>
              </w:rPr>
              <w:t>%</w:t>
            </w:r>
          </w:p>
        </w:tc>
        <w:tc>
          <w:tcPr>
            <w:tcW w:w="1560" w:type="dxa"/>
            <w:tcMar/>
          </w:tcPr>
          <w:p w:rsidR="21A18194" w:rsidP="54DDD14F" w:rsidRDefault="21A18194" w14:paraId="69C7B323" w14:textId="4D6434A4">
            <w:pPr>
              <w:rPr>
                <w:rFonts w:eastAsia="" w:eastAsiaTheme="minorEastAsia"/>
                <w:lang w:val="en-GB"/>
              </w:rPr>
            </w:pPr>
            <w:r w:rsidRPr="54DDD14F" w:rsidR="54DDD14F">
              <w:rPr>
                <w:rFonts w:eastAsia="" w:eastAsiaTheme="minorEastAsia"/>
                <w:lang w:val="en-GB"/>
              </w:rPr>
              <w:t>3</w:t>
            </w:r>
            <w:r w:rsidRPr="54DDD14F" w:rsidR="54DDD14F">
              <w:rPr>
                <w:rFonts w:eastAsia="" w:eastAsiaTheme="minorEastAsia"/>
                <w:lang w:val="en-GB"/>
              </w:rPr>
              <w:t>3%</w:t>
            </w:r>
          </w:p>
        </w:tc>
        <w:tc>
          <w:tcPr>
            <w:tcW w:w="1560" w:type="dxa"/>
            <w:tcMar/>
          </w:tcPr>
          <w:p w:rsidR="21A18194" w:rsidP="54DDD14F" w:rsidRDefault="21A18194" w14:paraId="298E693B" w14:textId="1B3705B6">
            <w:pPr>
              <w:rPr>
                <w:rFonts w:eastAsia="" w:eastAsiaTheme="minorEastAsia"/>
                <w:color w:val="auto"/>
                <w:lang w:val="en-GB"/>
              </w:rPr>
            </w:pPr>
            <w:r w:rsidRPr="54DDD14F" w:rsidR="54DDD14F">
              <w:rPr>
                <w:rFonts w:eastAsia="" w:eastAsiaTheme="minorEastAsia"/>
                <w:color w:val="auto"/>
                <w:lang w:val="en-GB"/>
              </w:rPr>
              <w:t>&lt;1%</w:t>
            </w:r>
          </w:p>
        </w:tc>
        <w:tc>
          <w:tcPr>
            <w:tcW w:w="1560" w:type="dxa"/>
            <w:tcMar/>
          </w:tcPr>
          <w:p w:rsidR="21A18194" w:rsidP="1EF5166C" w:rsidRDefault="1EF5166C" w14:paraId="1CEA20BA" w14:textId="4B56AB44">
            <w:pPr>
              <w:rPr>
                <w:rFonts w:eastAsiaTheme="minorEastAsia"/>
                <w:lang w:val="en-GB"/>
              </w:rPr>
            </w:pPr>
            <w:r w:rsidRPr="1EF5166C">
              <w:rPr>
                <w:rFonts w:eastAsiaTheme="minorEastAsia"/>
                <w:lang w:val="en-GB"/>
              </w:rPr>
              <w:t>61%</w:t>
            </w:r>
          </w:p>
        </w:tc>
        <w:tc>
          <w:tcPr>
            <w:tcW w:w="1560" w:type="dxa"/>
            <w:tcMar/>
          </w:tcPr>
          <w:p w:rsidR="21A18194" w:rsidP="54DDD14F" w:rsidRDefault="1EF5166C" w14:paraId="3D75C510" w14:textId="19693ECA">
            <w:pPr>
              <w:rPr>
                <w:rFonts w:eastAsia="" w:eastAsiaTheme="minorEastAsia"/>
                <w:lang w:val="en-GB"/>
              </w:rPr>
            </w:pPr>
            <w:r w:rsidRPr="54DDD14F" w:rsidR="54DDD14F">
              <w:rPr>
                <w:rFonts w:eastAsia="" w:eastAsiaTheme="minorEastAsia"/>
                <w:lang w:val="en-GB"/>
              </w:rPr>
              <w:t>2</w:t>
            </w:r>
            <w:r w:rsidRPr="54DDD14F" w:rsidR="54DDD14F">
              <w:rPr>
                <w:rFonts w:eastAsia="" w:eastAsiaTheme="minorEastAsia"/>
                <w:lang w:val="en-GB"/>
              </w:rPr>
              <w:t>3</w:t>
            </w:r>
            <w:r w:rsidRPr="54DDD14F" w:rsidR="54DDD14F">
              <w:rPr>
                <w:rFonts w:eastAsia="" w:eastAsiaTheme="minorEastAsia"/>
                <w:lang w:val="en-GB"/>
              </w:rPr>
              <w:t>%</w:t>
            </w:r>
          </w:p>
        </w:tc>
      </w:tr>
      <w:tr w:rsidR="21A18194" w:rsidTr="54DDD14F" w14:paraId="3CAC07A4" w14:textId="77777777">
        <w:tc>
          <w:tcPr>
            <w:tcW w:w="1800" w:type="dxa"/>
            <w:shd w:val="clear" w:color="auto" w:fill="F2F2F2" w:themeFill="background1" w:themeFillShade="F2"/>
            <w:tcMar/>
          </w:tcPr>
          <w:p w:rsidR="21A18194" w:rsidP="21A18194" w:rsidRDefault="21A18194" w14:paraId="284A9B14" w14:textId="4B63BA8F">
            <w:pPr>
              <w:rPr>
                <w:rFonts w:eastAsiaTheme="minorEastAsia"/>
                <w:lang w:val="en-GB"/>
              </w:rPr>
            </w:pPr>
            <w:r w:rsidRPr="21A18194">
              <w:rPr>
                <w:rFonts w:eastAsiaTheme="minorEastAsia"/>
                <w:lang w:val="en-GB"/>
              </w:rPr>
              <w:t>Yorkshire and the Humber</w:t>
            </w:r>
          </w:p>
        </w:tc>
        <w:tc>
          <w:tcPr>
            <w:tcW w:w="1320" w:type="dxa"/>
            <w:tcMar/>
          </w:tcPr>
          <w:p w:rsidR="21A18194" w:rsidP="21A18194" w:rsidRDefault="21A18194" w14:paraId="07925A26" w14:textId="48E1FDB4">
            <w:pPr>
              <w:rPr>
                <w:rFonts w:eastAsiaTheme="minorEastAsia"/>
                <w:lang w:val="en-GB"/>
              </w:rPr>
            </w:pPr>
            <w:r w:rsidRPr="21A18194">
              <w:rPr>
                <w:rFonts w:eastAsiaTheme="minorEastAsia"/>
                <w:lang w:val="en-GB"/>
              </w:rPr>
              <w:t>64%</w:t>
            </w:r>
          </w:p>
        </w:tc>
        <w:tc>
          <w:tcPr>
            <w:tcW w:w="1560" w:type="dxa"/>
            <w:tcMar/>
          </w:tcPr>
          <w:p w:rsidR="21A18194" w:rsidP="54DDD14F" w:rsidRDefault="21A18194" w14:paraId="6B54EB89" w14:textId="513856A7">
            <w:pPr>
              <w:rPr>
                <w:rFonts w:eastAsia="" w:eastAsiaTheme="minorEastAsia"/>
                <w:lang w:val="en-GB"/>
              </w:rPr>
            </w:pPr>
            <w:r w:rsidRPr="54DDD14F" w:rsidR="54DDD14F">
              <w:rPr>
                <w:rFonts w:eastAsia="" w:eastAsiaTheme="minorEastAsia"/>
                <w:lang w:val="en-GB"/>
              </w:rPr>
              <w:t>2</w:t>
            </w:r>
            <w:r w:rsidRPr="54DDD14F" w:rsidR="54DDD14F">
              <w:rPr>
                <w:rFonts w:eastAsia="" w:eastAsiaTheme="minorEastAsia"/>
                <w:lang w:val="en-GB"/>
              </w:rPr>
              <w:t>7</w:t>
            </w:r>
            <w:r w:rsidRPr="54DDD14F" w:rsidR="54DDD14F">
              <w:rPr>
                <w:rFonts w:eastAsia="" w:eastAsiaTheme="minorEastAsia"/>
                <w:lang w:val="en-GB"/>
              </w:rPr>
              <w:t>%</w:t>
            </w:r>
          </w:p>
        </w:tc>
        <w:tc>
          <w:tcPr>
            <w:tcW w:w="1560" w:type="dxa"/>
            <w:tcMar/>
          </w:tcPr>
          <w:p w:rsidR="21A18194" w:rsidP="54DDD14F" w:rsidRDefault="21A18194" w14:paraId="74AD9C30" w14:textId="66A03BDC">
            <w:pPr>
              <w:rPr>
                <w:rFonts w:eastAsia="" w:eastAsiaTheme="minorEastAsia"/>
                <w:color w:val="FF0000"/>
                <w:lang w:val="en-GB"/>
              </w:rPr>
            </w:pPr>
            <w:r w:rsidRPr="54DDD14F" w:rsidR="54DDD14F">
              <w:rPr>
                <w:rFonts w:eastAsia="" w:eastAsiaTheme="minorEastAsia"/>
                <w:color w:val="FF0000"/>
                <w:lang w:val="en-GB"/>
              </w:rPr>
              <w:t>-</w:t>
            </w:r>
            <w:r w:rsidRPr="54DDD14F" w:rsidR="54DDD14F">
              <w:rPr>
                <w:rFonts w:eastAsia="" w:eastAsiaTheme="minorEastAsia"/>
                <w:color w:val="FF0000"/>
                <w:lang w:val="en-GB"/>
              </w:rPr>
              <w:t>0.5%</w:t>
            </w:r>
          </w:p>
        </w:tc>
        <w:tc>
          <w:tcPr>
            <w:tcW w:w="1560" w:type="dxa"/>
            <w:tcMar/>
          </w:tcPr>
          <w:p w:rsidR="21A18194" w:rsidP="54DDD14F" w:rsidRDefault="1EF5166C" w14:paraId="204ABB80" w14:textId="62B487CF">
            <w:pPr>
              <w:rPr>
                <w:rFonts w:eastAsia="" w:eastAsiaTheme="minorEastAsia"/>
                <w:lang w:val="en-GB"/>
              </w:rPr>
            </w:pPr>
            <w:r w:rsidRPr="54DDD14F" w:rsidR="54DDD14F">
              <w:rPr>
                <w:rFonts w:eastAsia="" w:eastAsiaTheme="minorEastAsia"/>
                <w:lang w:val="en-GB"/>
              </w:rPr>
              <w:t>5</w:t>
            </w:r>
            <w:r w:rsidRPr="54DDD14F" w:rsidR="54DDD14F">
              <w:rPr>
                <w:rFonts w:eastAsia="" w:eastAsiaTheme="minorEastAsia"/>
                <w:lang w:val="en-GB"/>
              </w:rPr>
              <w:t>9</w:t>
            </w:r>
            <w:r w:rsidRPr="54DDD14F" w:rsidR="54DDD14F">
              <w:rPr>
                <w:rFonts w:eastAsia="" w:eastAsiaTheme="minorEastAsia"/>
                <w:lang w:val="en-GB"/>
              </w:rPr>
              <w:t>%</w:t>
            </w:r>
          </w:p>
        </w:tc>
        <w:tc>
          <w:tcPr>
            <w:tcW w:w="1560" w:type="dxa"/>
            <w:tcMar/>
          </w:tcPr>
          <w:p w:rsidR="21A18194" w:rsidP="54DDD14F" w:rsidRDefault="1EF5166C" w14:paraId="1CAD0F91" w14:textId="35562ED8">
            <w:pPr>
              <w:rPr>
                <w:rFonts w:eastAsia="" w:eastAsiaTheme="minorEastAsia"/>
                <w:lang w:val="en-GB"/>
              </w:rPr>
            </w:pPr>
            <w:r w:rsidRPr="54DDD14F" w:rsidR="54DDD14F">
              <w:rPr>
                <w:rFonts w:eastAsia="" w:eastAsiaTheme="minorEastAsia"/>
                <w:lang w:val="en-GB"/>
              </w:rPr>
              <w:t>2</w:t>
            </w:r>
            <w:r w:rsidRPr="54DDD14F" w:rsidR="54DDD14F">
              <w:rPr>
                <w:rFonts w:eastAsia="" w:eastAsiaTheme="minorEastAsia"/>
                <w:lang w:val="en-GB"/>
              </w:rPr>
              <w:t>3</w:t>
            </w:r>
            <w:r w:rsidRPr="54DDD14F" w:rsidR="54DDD14F">
              <w:rPr>
                <w:rFonts w:eastAsia="" w:eastAsiaTheme="minorEastAsia"/>
                <w:lang w:val="en-GB"/>
              </w:rPr>
              <w:t>%</w:t>
            </w:r>
          </w:p>
        </w:tc>
      </w:tr>
      <w:tr w:rsidR="21A18194" w:rsidTr="54DDD14F" w14:paraId="2727F7BE" w14:textId="77777777">
        <w:tc>
          <w:tcPr>
            <w:tcW w:w="1800" w:type="dxa"/>
            <w:shd w:val="clear" w:color="auto" w:fill="F2F2F2" w:themeFill="background1" w:themeFillShade="F2"/>
            <w:tcMar/>
          </w:tcPr>
          <w:p w:rsidR="21A18194" w:rsidP="21A18194" w:rsidRDefault="21A18194" w14:paraId="6ABEBC5E" w14:textId="3D1534AA">
            <w:pPr>
              <w:rPr>
                <w:rFonts w:eastAsiaTheme="minorEastAsia"/>
                <w:lang w:val="en-GB"/>
              </w:rPr>
            </w:pPr>
            <w:r w:rsidRPr="21A18194">
              <w:rPr>
                <w:rFonts w:eastAsiaTheme="minorEastAsia"/>
                <w:lang w:val="en-GB"/>
              </w:rPr>
              <w:t>North West</w:t>
            </w:r>
          </w:p>
        </w:tc>
        <w:tc>
          <w:tcPr>
            <w:tcW w:w="1320" w:type="dxa"/>
            <w:tcMar/>
          </w:tcPr>
          <w:p w:rsidR="21A18194" w:rsidP="54DDD14F" w:rsidRDefault="21A18194" w14:paraId="39D296AD" w14:textId="7912055D">
            <w:pPr>
              <w:rPr>
                <w:rFonts w:eastAsia="" w:eastAsiaTheme="minorEastAsia"/>
                <w:lang w:val="en-GB"/>
              </w:rPr>
            </w:pPr>
            <w:r w:rsidRPr="54DDD14F" w:rsidR="54DDD14F">
              <w:rPr>
                <w:rFonts w:eastAsia="" w:eastAsiaTheme="minorEastAsia"/>
                <w:lang w:val="en-GB"/>
              </w:rPr>
              <w:t>60</w:t>
            </w:r>
            <w:r w:rsidRPr="54DDD14F" w:rsidR="54DDD14F">
              <w:rPr>
                <w:rFonts w:eastAsia="" w:eastAsiaTheme="minorEastAsia"/>
                <w:lang w:val="en-GB"/>
              </w:rPr>
              <w:t>%</w:t>
            </w:r>
          </w:p>
        </w:tc>
        <w:tc>
          <w:tcPr>
            <w:tcW w:w="1560" w:type="dxa"/>
            <w:tcMar/>
          </w:tcPr>
          <w:p w:rsidR="21A18194" w:rsidP="21A18194" w:rsidRDefault="21A18194" w14:paraId="3B3AFA23" w14:textId="03DE04EE">
            <w:pPr>
              <w:rPr>
                <w:rFonts w:eastAsiaTheme="minorEastAsia"/>
                <w:lang w:val="en-GB"/>
              </w:rPr>
            </w:pPr>
            <w:r w:rsidRPr="21A18194">
              <w:rPr>
                <w:rFonts w:eastAsiaTheme="minorEastAsia"/>
                <w:lang w:val="en-GB"/>
              </w:rPr>
              <w:t>19%</w:t>
            </w:r>
          </w:p>
        </w:tc>
        <w:tc>
          <w:tcPr>
            <w:tcW w:w="1560" w:type="dxa"/>
            <w:tcMar/>
          </w:tcPr>
          <w:p w:rsidR="21A18194" w:rsidP="54DDD14F" w:rsidRDefault="21A18194" w14:paraId="3F72A936" w14:textId="54672561">
            <w:pPr>
              <w:rPr>
                <w:rFonts w:eastAsia="" w:eastAsiaTheme="minorEastAsia"/>
                <w:lang w:val="en-GB"/>
              </w:rPr>
            </w:pPr>
            <w:r w:rsidRPr="54DDD14F" w:rsidR="54DDD14F">
              <w:rPr>
                <w:rFonts w:eastAsia="" w:eastAsiaTheme="minorEastAsia"/>
                <w:lang w:val="en-GB"/>
              </w:rPr>
              <w:t>3%</w:t>
            </w:r>
          </w:p>
        </w:tc>
        <w:tc>
          <w:tcPr>
            <w:tcW w:w="1560" w:type="dxa"/>
            <w:tcMar/>
          </w:tcPr>
          <w:p w:rsidR="21A18194" w:rsidP="1EF5166C" w:rsidRDefault="1EF5166C" w14:paraId="7AE92E49" w14:textId="0A8E5984">
            <w:pPr>
              <w:rPr>
                <w:rFonts w:eastAsiaTheme="minorEastAsia"/>
                <w:lang w:val="en-GB"/>
              </w:rPr>
            </w:pPr>
            <w:r w:rsidRPr="1EF5166C">
              <w:rPr>
                <w:rFonts w:eastAsiaTheme="minorEastAsia"/>
                <w:lang w:val="en-GB"/>
              </w:rPr>
              <w:t>55%</w:t>
            </w:r>
          </w:p>
        </w:tc>
        <w:tc>
          <w:tcPr>
            <w:tcW w:w="1560" w:type="dxa"/>
            <w:tcMar/>
          </w:tcPr>
          <w:p w:rsidR="21A18194" w:rsidP="54DDD14F" w:rsidRDefault="1EF5166C" w14:paraId="0000F340" w14:textId="5FC1CAF2">
            <w:pPr>
              <w:rPr>
                <w:rFonts w:eastAsia="" w:eastAsiaTheme="minorEastAsia"/>
                <w:lang w:val="en-GB"/>
              </w:rPr>
            </w:pPr>
            <w:r w:rsidRPr="54DDD14F" w:rsidR="54DDD14F">
              <w:rPr>
                <w:rFonts w:eastAsia="" w:eastAsiaTheme="minorEastAsia"/>
                <w:lang w:val="en-GB"/>
              </w:rPr>
              <w:t>2</w:t>
            </w:r>
            <w:r w:rsidRPr="54DDD14F" w:rsidR="54DDD14F">
              <w:rPr>
                <w:rFonts w:eastAsia="" w:eastAsiaTheme="minorEastAsia"/>
                <w:lang w:val="en-GB"/>
              </w:rPr>
              <w:t>6</w:t>
            </w:r>
            <w:r w:rsidRPr="54DDD14F" w:rsidR="54DDD14F">
              <w:rPr>
                <w:rFonts w:eastAsia="" w:eastAsiaTheme="minorEastAsia"/>
                <w:lang w:val="en-GB"/>
              </w:rPr>
              <w:t>%</w:t>
            </w:r>
          </w:p>
        </w:tc>
      </w:tr>
      <w:tr w:rsidR="21A18194" w:rsidTr="54DDD14F" w14:paraId="4F43B5D5" w14:textId="77777777">
        <w:tc>
          <w:tcPr>
            <w:tcW w:w="1800" w:type="dxa"/>
            <w:shd w:val="clear" w:color="auto" w:fill="F2F2F2" w:themeFill="background1" w:themeFillShade="F2"/>
            <w:tcMar/>
          </w:tcPr>
          <w:p w:rsidR="21A18194" w:rsidP="21A18194" w:rsidRDefault="21A18194" w14:paraId="46C9FE83" w14:textId="29291D02">
            <w:pPr>
              <w:rPr>
                <w:rFonts w:eastAsiaTheme="minorEastAsia"/>
                <w:lang w:val="en-GB"/>
              </w:rPr>
            </w:pPr>
            <w:r w:rsidRPr="21A18194">
              <w:rPr>
                <w:rFonts w:eastAsiaTheme="minorEastAsia"/>
                <w:lang w:val="en-GB"/>
              </w:rPr>
              <w:t>North East</w:t>
            </w:r>
          </w:p>
        </w:tc>
        <w:tc>
          <w:tcPr>
            <w:tcW w:w="1320" w:type="dxa"/>
            <w:tcMar/>
          </w:tcPr>
          <w:p w:rsidR="21A18194" w:rsidP="21A18194" w:rsidRDefault="21A18194" w14:paraId="5A125A74" w14:textId="72E0E692">
            <w:pPr>
              <w:rPr>
                <w:rFonts w:eastAsiaTheme="minorEastAsia"/>
                <w:lang w:val="en-GB"/>
              </w:rPr>
            </w:pPr>
            <w:r w:rsidRPr="21A18194">
              <w:rPr>
                <w:rFonts w:eastAsiaTheme="minorEastAsia"/>
                <w:lang w:val="en-GB"/>
              </w:rPr>
              <w:t>67%</w:t>
            </w:r>
          </w:p>
        </w:tc>
        <w:tc>
          <w:tcPr>
            <w:tcW w:w="1560" w:type="dxa"/>
            <w:tcMar/>
          </w:tcPr>
          <w:p w:rsidR="21A18194" w:rsidP="21A18194" w:rsidRDefault="21A18194" w14:paraId="4AB879B2" w14:textId="0DD3B038">
            <w:pPr>
              <w:rPr>
                <w:rFonts w:eastAsiaTheme="minorEastAsia"/>
                <w:lang w:val="en-GB"/>
              </w:rPr>
            </w:pPr>
            <w:r w:rsidRPr="21A18194">
              <w:rPr>
                <w:rFonts w:eastAsiaTheme="minorEastAsia"/>
                <w:lang w:val="en-GB"/>
              </w:rPr>
              <w:t>30%</w:t>
            </w:r>
          </w:p>
        </w:tc>
        <w:tc>
          <w:tcPr>
            <w:tcW w:w="1560" w:type="dxa"/>
            <w:tcMar/>
          </w:tcPr>
          <w:p w:rsidR="21A18194" w:rsidP="54DDD14F" w:rsidRDefault="21A18194" w14:paraId="04903544" w14:textId="7BA145CF">
            <w:pPr>
              <w:rPr>
                <w:rFonts w:eastAsia="" w:eastAsiaTheme="minorEastAsia"/>
                <w:color w:val="FF0000"/>
                <w:lang w:val="en-GB"/>
              </w:rPr>
            </w:pPr>
            <w:r w:rsidRPr="54DDD14F" w:rsidR="54DDD14F">
              <w:rPr>
                <w:rFonts w:eastAsia="" w:eastAsiaTheme="minorEastAsia"/>
                <w:color w:val="FF0000"/>
                <w:lang w:val="en-GB"/>
              </w:rPr>
              <w:t>-11%</w:t>
            </w:r>
          </w:p>
        </w:tc>
        <w:tc>
          <w:tcPr>
            <w:tcW w:w="1560" w:type="dxa"/>
            <w:tcMar/>
          </w:tcPr>
          <w:p w:rsidR="21A18194" w:rsidP="54DDD14F" w:rsidRDefault="1EF5166C" w14:paraId="171696ED" w14:textId="612A14E2">
            <w:pPr>
              <w:rPr>
                <w:rFonts w:eastAsia="" w:eastAsiaTheme="minorEastAsia"/>
                <w:lang w:val="en-GB"/>
              </w:rPr>
            </w:pPr>
            <w:r w:rsidRPr="54DDD14F" w:rsidR="54DDD14F">
              <w:rPr>
                <w:rFonts w:eastAsia="" w:eastAsiaTheme="minorEastAsia"/>
                <w:lang w:val="en-GB"/>
              </w:rPr>
              <w:t>60</w:t>
            </w:r>
            <w:r w:rsidRPr="54DDD14F" w:rsidR="54DDD14F">
              <w:rPr>
                <w:rFonts w:eastAsia="" w:eastAsiaTheme="minorEastAsia"/>
                <w:lang w:val="en-GB"/>
              </w:rPr>
              <w:t>%</w:t>
            </w:r>
          </w:p>
        </w:tc>
        <w:tc>
          <w:tcPr>
            <w:tcW w:w="1560" w:type="dxa"/>
            <w:tcMar/>
          </w:tcPr>
          <w:p w:rsidR="21A18194" w:rsidP="54DDD14F" w:rsidRDefault="1EF5166C" w14:paraId="0E170265" w14:textId="76191C57">
            <w:pPr>
              <w:rPr>
                <w:rFonts w:eastAsia="" w:eastAsiaTheme="minorEastAsia"/>
                <w:lang w:val="en-GB"/>
              </w:rPr>
            </w:pPr>
            <w:r w:rsidRPr="54DDD14F" w:rsidR="54DDD14F">
              <w:rPr>
                <w:rFonts w:eastAsia="" w:eastAsiaTheme="minorEastAsia"/>
                <w:lang w:val="en-GB"/>
              </w:rPr>
              <w:t>14</w:t>
            </w:r>
            <w:r w:rsidRPr="54DDD14F" w:rsidR="54DDD14F">
              <w:rPr>
                <w:rFonts w:eastAsia="" w:eastAsiaTheme="minorEastAsia"/>
                <w:lang w:val="en-GB"/>
              </w:rPr>
              <w:t>%</w:t>
            </w:r>
          </w:p>
        </w:tc>
      </w:tr>
      <w:tr w:rsidR="21A18194" w:rsidTr="54DDD14F" w14:paraId="20E881F8" w14:textId="77777777">
        <w:tc>
          <w:tcPr>
            <w:tcW w:w="1800" w:type="dxa"/>
            <w:shd w:val="clear" w:color="auto" w:fill="F2F2F2" w:themeFill="background1" w:themeFillShade="F2"/>
            <w:tcMar/>
          </w:tcPr>
          <w:p w:rsidR="21A18194" w:rsidP="21A18194" w:rsidRDefault="21A18194" w14:paraId="69BD26F4" w14:textId="5B431D96">
            <w:pPr>
              <w:rPr>
                <w:rFonts w:eastAsiaTheme="minorEastAsia"/>
                <w:lang w:val="en-GB"/>
              </w:rPr>
            </w:pPr>
            <w:r w:rsidRPr="21A18194">
              <w:rPr>
                <w:rFonts w:eastAsiaTheme="minorEastAsia"/>
                <w:lang w:val="en-GB"/>
              </w:rPr>
              <w:t>Wales</w:t>
            </w:r>
          </w:p>
        </w:tc>
        <w:tc>
          <w:tcPr>
            <w:tcW w:w="1320" w:type="dxa"/>
            <w:tcMar/>
          </w:tcPr>
          <w:p w:rsidR="21A18194" w:rsidP="21A18194" w:rsidRDefault="21A18194" w14:paraId="66AD9EC4" w14:textId="4919D5A7">
            <w:pPr>
              <w:rPr>
                <w:rFonts w:eastAsiaTheme="minorEastAsia"/>
                <w:lang w:val="en-GB"/>
              </w:rPr>
            </w:pPr>
            <w:r w:rsidRPr="21A18194">
              <w:rPr>
                <w:rFonts w:eastAsiaTheme="minorEastAsia"/>
                <w:lang w:val="en-GB"/>
              </w:rPr>
              <w:t>68%</w:t>
            </w:r>
          </w:p>
        </w:tc>
        <w:tc>
          <w:tcPr>
            <w:tcW w:w="1560" w:type="dxa"/>
            <w:tcMar/>
          </w:tcPr>
          <w:p w:rsidR="21A18194" w:rsidP="54DDD14F" w:rsidRDefault="21A18194" w14:paraId="468533D1" w14:textId="4724814A">
            <w:pPr>
              <w:rPr>
                <w:rFonts w:eastAsia="" w:eastAsiaTheme="minorEastAsia"/>
                <w:lang w:val="en-GB"/>
              </w:rPr>
            </w:pPr>
            <w:r w:rsidRPr="54DDD14F" w:rsidR="54DDD14F">
              <w:rPr>
                <w:rFonts w:eastAsia="" w:eastAsiaTheme="minorEastAsia"/>
                <w:lang w:val="en-GB"/>
              </w:rPr>
              <w:t>3</w:t>
            </w:r>
            <w:r w:rsidRPr="54DDD14F" w:rsidR="54DDD14F">
              <w:rPr>
                <w:rFonts w:eastAsia="" w:eastAsiaTheme="minorEastAsia"/>
                <w:lang w:val="en-GB"/>
              </w:rPr>
              <w:t>2</w:t>
            </w:r>
            <w:r w:rsidRPr="54DDD14F" w:rsidR="54DDD14F">
              <w:rPr>
                <w:rFonts w:eastAsia="" w:eastAsiaTheme="minorEastAsia"/>
                <w:lang w:val="en-GB"/>
              </w:rPr>
              <w:t>%</w:t>
            </w:r>
          </w:p>
        </w:tc>
        <w:tc>
          <w:tcPr>
            <w:tcW w:w="1560" w:type="dxa"/>
            <w:tcMar/>
          </w:tcPr>
          <w:p w:rsidR="21A18194" w:rsidP="54DDD14F" w:rsidRDefault="21A18194" w14:paraId="63394397" w14:textId="2634E685">
            <w:pPr>
              <w:rPr>
                <w:rFonts w:eastAsia="" w:eastAsiaTheme="minorEastAsia"/>
                <w:lang w:val="en-GB"/>
              </w:rPr>
            </w:pPr>
            <w:r w:rsidRPr="54DDD14F" w:rsidR="54DDD14F">
              <w:rPr>
                <w:rFonts w:eastAsia="" w:eastAsiaTheme="minorEastAsia"/>
                <w:lang w:val="en-GB"/>
              </w:rPr>
              <w:t>3%</w:t>
            </w:r>
          </w:p>
        </w:tc>
        <w:tc>
          <w:tcPr>
            <w:tcW w:w="1560" w:type="dxa"/>
            <w:tcMar/>
          </w:tcPr>
          <w:p w:rsidR="21A18194" w:rsidP="1EF5166C" w:rsidRDefault="1EF5166C" w14:paraId="78191A66" w14:textId="543B59E0">
            <w:pPr>
              <w:rPr>
                <w:rFonts w:eastAsiaTheme="minorEastAsia"/>
                <w:lang w:val="en-GB"/>
              </w:rPr>
            </w:pPr>
            <w:r w:rsidRPr="1EF5166C">
              <w:rPr>
                <w:rFonts w:eastAsiaTheme="minorEastAsia"/>
                <w:lang w:val="en-GB"/>
              </w:rPr>
              <w:t>60%</w:t>
            </w:r>
          </w:p>
        </w:tc>
        <w:tc>
          <w:tcPr>
            <w:tcW w:w="1560" w:type="dxa"/>
            <w:tcMar/>
          </w:tcPr>
          <w:p w:rsidR="21A18194" w:rsidP="54DDD14F" w:rsidRDefault="1EF5166C" w14:paraId="64E7246B" w14:textId="395203A2">
            <w:pPr>
              <w:rPr>
                <w:rFonts w:eastAsia="" w:eastAsiaTheme="minorEastAsia"/>
                <w:lang w:val="en-GB"/>
              </w:rPr>
            </w:pPr>
            <w:r w:rsidRPr="54DDD14F" w:rsidR="54DDD14F">
              <w:rPr>
                <w:rFonts w:eastAsia="" w:eastAsiaTheme="minorEastAsia"/>
                <w:lang w:val="en-GB"/>
              </w:rPr>
              <w:t>2</w:t>
            </w:r>
            <w:r w:rsidRPr="54DDD14F" w:rsidR="54DDD14F">
              <w:rPr>
                <w:rFonts w:eastAsia="" w:eastAsiaTheme="minorEastAsia"/>
                <w:lang w:val="en-GB"/>
              </w:rPr>
              <w:t>4</w:t>
            </w:r>
            <w:r w:rsidRPr="54DDD14F" w:rsidR="54DDD14F">
              <w:rPr>
                <w:rFonts w:eastAsia="" w:eastAsiaTheme="minorEastAsia"/>
                <w:lang w:val="en-GB"/>
              </w:rPr>
              <w:t>%</w:t>
            </w:r>
          </w:p>
        </w:tc>
      </w:tr>
      <w:tr w:rsidR="21A18194" w:rsidTr="54DDD14F" w14:paraId="7EDD1147" w14:textId="77777777">
        <w:tc>
          <w:tcPr>
            <w:tcW w:w="1800" w:type="dxa"/>
            <w:shd w:val="clear" w:color="auto" w:fill="F2F2F2" w:themeFill="background1" w:themeFillShade="F2"/>
            <w:tcMar/>
          </w:tcPr>
          <w:p w:rsidR="21A18194" w:rsidP="21A18194" w:rsidRDefault="21A18194" w14:paraId="614984BE" w14:textId="748BBFFD">
            <w:pPr>
              <w:rPr>
                <w:rFonts w:eastAsiaTheme="minorEastAsia"/>
                <w:lang w:val="en-GB"/>
              </w:rPr>
            </w:pPr>
            <w:r w:rsidRPr="21A18194">
              <w:rPr>
                <w:rFonts w:eastAsiaTheme="minorEastAsia"/>
                <w:lang w:val="en-GB"/>
              </w:rPr>
              <w:t>Scotland</w:t>
            </w:r>
          </w:p>
        </w:tc>
        <w:tc>
          <w:tcPr>
            <w:tcW w:w="1320" w:type="dxa"/>
            <w:tcMar/>
          </w:tcPr>
          <w:p w:rsidR="21A18194" w:rsidP="54DDD14F" w:rsidRDefault="21A18194" w14:paraId="7E63C43E" w14:textId="3B41A14B">
            <w:pPr>
              <w:rPr>
                <w:rFonts w:eastAsia="" w:eastAsiaTheme="minorEastAsia"/>
                <w:lang w:val="en-GB"/>
              </w:rPr>
            </w:pPr>
            <w:r w:rsidRPr="54DDD14F" w:rsidR="54DDD14F">
              <w:rPr>
                <w:rFonts w:eastAsia="" w:eastAsiaTheme="minorEastAsia"/>
                <w:lang w:val="en-GB"/>
              </w:rPr>
              <w:t>7</w:t>
            </w:r>
            <w:r w:rsidRPr="54DDD14F" w:rsidR="54DDD14F">
              <w:rPr>
                <w:rFonts w:eastAsia="" w:eastAsiaTheme="minorEastAsia"/>
                <w:lang w:val="en-GB"/>
              </w:rPr>
              <w:t>1</w:t>
            </w:r>
            <w:r w:rsidRPr="54DDD14F" w:rsidR="54DDD14F">
              <w:rPr>
                <w:rFonts w:eastAsia="" w:eastAsiaTheme="minorEastAsia"/>
                <w:lang w:val="en-GB"/>
              </w:rPr>
              <w:t>%</w:t>
            </w:r>
          </w:p>
        </w:tc>
        <w:tc>
          <w:tcPr>
            <w:tcW w:w="1560" w:type="dxa"/>
            <w:tcMar/>
          </w:tcPr>
          <w:p w:rsidR="21A18194" w:rsidP="54DDD14F" w:rsidRDefault="21A18194" w14:paraId="245EB7F6" w14:textId="7B64ECDD">
            <w:pPr>
              <w:rPr>
                <w:rFonts w:eastAsia="" w:eastAsiaTheme="minorEastAsia"/>
                <w:lang w:val="en-GB"/>
              </w:rPr>
            </w:pPr>
            <w:r w:rsidRPr="54DDD14F" w:rsidR="54DDD14F">
              <w:rPr>
                <w:rFonts w:eastAsia="" w:eastAsiaTheme="minorEastAsia"/>
                <w:lang w:val="en-GB"/>
              </w:rPr>
              <w:t>40</w:t>
            </w:r>
            <w:r w:rsidRPr="54DDD14F" w:rsidR="54DDD14F">
              <w:rPr>
                <w:rFonts w:eastAsia="" w:eastAsiaTheme="minorEastAsia"/>
                <w:lang w:val="en-GB"/>
              </w:rPr>
              <w:t>%</w:t>
            </w:r>
          </w:p>
        </w:tc>
        <w:tc>
          <w:tcPr>
            <w:tcW w:w="1560" w:type="dxa"/>
            <w:tcMar/>
          </w:tcPr>
          <w:p w:rsidR="21A18194" w:rsidP="54DDD14F" w:rsidRDefault="21A18194" w14:paraId="284574F3" w14:textId="3A4EF335">
            <w:pPr>
              <w:rPr>
                <w:rFonts w:eastAsia="" w:eastAsiaTheme="minorEastAsia"/>
                <w:lang w:val="en-GB"/>
              </w:rPr>
            </w:pPr>
            <w:r w:rsidRPr="54DDD14F" w:rsidR="54DDD14F">
              <w:rPr>
                <w:rFonts w:eastAsia="" w:eastAsiaTheme="minorEastAsia"/>
                <w:lang w:val="en-GB"/>
              </w:rPr>
              <w:t>8%</w:t>
            </w:r>
          </w:p>
        </w:tc>
        <w:tc>
          <w:tcPr>
            <w:tcW w:w="1560" w:type="dxa"/>
            <w:tcMar/>
          </w:tcPr>
          <w:p w:rsidR="21A18194" w:rsidP="1EF5166C" w:rsidRDefault="1EF5166C" w14:paraId="47B18389" w14:textId="13612E73">
            <w:pPr>
              <w:rPr>
                <w:rFonts w:eastAsiaTheme="minorEastAsia"/>
                <w:lang w:val="en-GB"/>
              </w:rPr>
            </w:pPr>
            <w:r w:rsidRPr="1EF5166C">
              <w:rPr>
                <w:rFonts w:eastAsiaTheme="minorEastAsia"/>
                <w:lang w:val="en-GB"/>
              </w:rPr>
              <w:t>66%</w:t>
            </w:r>
          </w:p>
        </w:tc>
        <w:tc>
          <w:tcPr>
            <w:tcW w:w="1560" w:type="dxa"/>
            <w:tcMar/>
          </w:tcPr>
          <w:p w:rsidR="21A18194" w:rsidP="54DDD14F" w:rsidRDefault="1EF5166C" w14:paraId="52CFFD56" w14:textId="57CCEFA4">
            <w:pPr>
              <w:rPr>
                <w:rFonts w:eastAsia="" w:eastAsiaTheme="minorEastAsia"/>
                <w:lang w:val="en-GB"/>
              </w:rPr>
            </w:pPr>
            <w:r w:rsidRPr="54DDD14F" w:rsidR="54DDD14F">
              <w:rPr>
                <w:rFonts w:eastAsia="" w:eastAsiaTheme="minorEastAsia"/>
                <w:lang w:val="en-GB"/>
              </w:rPr>
              <w:t>2</w:t>
            </w:r>
            <w:r w:rsidRPr="54DDD14F" w:rsidR="54DDD14F">
              <w:rPr>
                <w:rFonts w:eastAsia="" w:eastAsiaTheme="minorEastAsia"/>
                <w:lang w:val="en-GB"/>
              </w:rPr>
              <w:t>9</w:t>
            </w:r>
            <w:r w:rsidRPr="54DDD14F" w:rsidR="54DDD14F">
              <w:rPr>
                <w:rFonts w:eastAsia="" w:eastAsiaTheme="minorEastAsia"/>
                <w:lang w:val="en-GB"/>
              </w:rPr>
              <w:t>%</w:t>
            </w:r>
          </w:p>
        </w:tc>
      </w:tr>
      <w:tr w:rsidR="21A18194" w:rsidTr="54DDD14F" w14:paraId="14BEE613" w14:textId="77777777">
        <w:tc>
          <w:tcPr>
            <w:tcW w:w="1800" w:type="dxa"/>
            <w:shd w:val="clear" w:color="auto" w:fill="F2F2F2" w:themeFill="background1" w:themeFillShade="F2"/>
            <w:tcMar/>
          </w:tcPr>
          <w:p w:rsidR="21A18194" w:rsidP="21A18194" w:rsidRDefault="21A18194" w14:paraId="1CFB9E25" w14:textId="7B40609A">
            <w:pPr>
              <w:rPr>
                <w:rFonts w:eastAsiaTheme="minorEastAsia"/>
                <w:lang w:val="en-GB"/>
              </w:rPr>
            </w:pPr>
            <w:r w:rsidRPr="21A18194">
              <w:rPr>
                <w:rFonts w:eastAsiaTheme="minorEastAsia"/>
                <w:lang w:val="en-GB"/>
              </w:rPr>
              <w:t>Northern Ireland</w:t>
            </w:r>
          </w:p>
        </w:tc>
        <w:tc>
          <w:tcPr>
            <w:tcW w:w="1320" w:type="dxa"/>
            <w:tcMar/>
          </w:tcPr>
          <w:p w:rsidR="21A18194" w:rsidP="54DDD14F" w:rsidRDefault="21A18194" w14:paraId="78AFFE7A" w14:textId="6068B3F5">
            <w:pPr>
              <w:rPr>
                <w:rFonts w:eastAsia="" w:eastAsiaTheme="minorEastAsia"/>
                <w:lang w:val="en-GB"/>
              </w:rPr>
            </w:pPr>
            <w:r w:rsidRPr="54DDD14F" w:rsidR="54DDD14F">
              <w:rPr>
                <w:rFonts w:eastAsia="" w:eastAsiaTheme="minorEastAsia"/>
                <w:lang w:val="en-GB"/>
              </w:rPr>
              <w:t>5</w:t>
            </w:r>
            <w:r w:rsidRPr="54DDD14F" w:rsidR="54DDD14F">
              <w:rPr>
                <w:rFonts w:eastAsia="" w:eastAsiaTheme="minorEastAsia"/>
                <w:lang w:val="en-GB"/>
              </w:rPr>
              <w:t>9</w:t>
            </w:r>
            <w:r w:rsidRPr="54DDD14F" w:rsidR="54DDD14F">
              <w:rPr>
                <w:rFonts w:eastAsia="" w:eastAsiaTheme="minorEastAsia"/>
                <w:lang w:val="en-GB"/>
              </w:rPr>
              <w:t>%</w:t>
            </w:r>
          </w:p>
        </w:tc>
        <w:tc>
          <w:tcPr>
            <w:tcW w:w="1560" w:type="dxa"/>
            <w:tcMar/>
          </w:tcPr>
          <w:p w:rsidR="21A18194" w:rsidP="21A18194" w:rsidRDefault="21A18194" w14:paraId="21EB36F9" w14:textId="2CDD7B91">
            <w:pPr>
              <w:rPr>
                <w:rFonts w:eastAsiaTheme="minorEastAsia"/>
                <w:lang w:val="en-GB"/>
              </w:rPr>
            </w:pPr>
            <w:r w:rsidRPr="21A18194">
              <w:rPr>
                <w:rFonts w:eastAsiaTheme="minorEastAsia"/>
                <w:lang w:val="en-GB"/>
              </w:rPr>
              <w:t>18%</w:t>
            </w:r>
          </w:p>
        </w:tc>
        <w:tc>
          <w:tcPr>
            <w:tcW w:w="1560" w:type="dxa"/>
            <w:tcMar/>
          </w:tcPr>
          <w:p w:rsidR="21A18194" w:rsidP="54DDD14F" w:rsidRDefault="21A18194" w14:paraId="0AF291CB" w14:textId="15343340">
            <w:pPr>
              <w:rPr>
                <w:rFonts w:eastAsia="" w:eastAsiaTheme="minorEastAsia"/>
                <w:color w:val="FF0000"/>
                <w:lang w:val="en-GB"/>
              </w:rPr>
            </w:pPr>
            <w:r w:rsidRPr="54DDD14F" w:rsidR="54DDD14F">
              <w:rPr>
                <w:rFonts w:eastAsia="" w:eastAsiaTheme="minorEastAsia"/>
                <w:color w:val="FF0000"/>
                <w:lang w:val="en-GB"/>
              </w:rPr>
              <w:t>-1</w:t>
            </w:r>
            <w:r w:rsidRPr="54DDD14F" w:rsidR="54DDD14F">
              <w:rPr>
                <w:rFonts w:eastAsia="" w:eastAsiaTheme="minorEastAsia"/>
                <w:color w:val="FF0000"/>
                <w:lang w:val="en-GB"/>
              </w:rPr>
              <w:t>6%</w:t>
            </w:r>
          </w:p>
        </w:tc>
        <w:tc>
          <w:tcPr>
            <w:tcW w:w="1560" w:type="dxa"/>
            <w:tcMar/>
          </w:tcPr>
          <w:p w:rsidR="21A18194" w:rsidP="1EF5166C" w:rsidRDefault="1EF5166C" w14:paraId="5180CACD" w14:textId="73742670">
            <w:pPr>
              <w:rPr>
                <w:rFonts w:eastAsiaTheme="minorEastAsia"/>
                <w:lang w:val="en-GB"/>
              </w:rPr>
            </w:pPr>
            <w:r w:rsidRPr="1EF5166C">
              <w:rPr>
                <w:rFonts w:eastAsiaTheme="minorEastAsia"/>
                <w:lang w:val="en-GB"/>
              </w:rPr>
              <w:t>55%</w:t>
            </w:r>
          </w:p>
        </w:tc>
        <w:tc>
          <w:tcPr>
            <w:tcW w:w="1560" w:type="dxa"/>
            <w:tcMar/>
          </w:tcPr>
          <w:p w:rsidR="21A18194" w:rsidP="54DDD14F" w:rsidRDefault="1EF5166C" w14:paraId="078507AE" w14:textId="7E060DB5">
            <w:pPr>
              <w:rPr>
                <w:rFonts w:eastAsia="" w:eastAsiaTheme="minorEastAsia"/>
                <w:lang w:val="en-GB"/>
              </w:rPr>
            </w:pPr>
            <w:r w:rsidRPr="54DDD14F" w:rsidR="54DDD14F">
              <w:rPr>
                <w:rFonts w:eastAsia="" w:eastAsiaTheme="minorEastAsia"/>
                <w:lang w:val="en-GB"/>
              </w:rPr>
              <w:t>1</w:t>
            </w:r>
            <w:r w:rsidRPr="54DDD14F" w:rsidR="54DDD14F">
              <w:rPr>
                <w:rFonts w:eastAsia="" w:eastAsiaTheme="minorEastAsia"/>
                <w:lang w:val="en-GB"/>
              </w:rPr>
              <w:t>2</w:t>
            </w:r>
            <w:r w:rsidRPr="54DDD14F" w:rsidR="54DDD14F">
              <w:rPr>
                <w:rFonts w:eastAsia="" w:eastAsiaTheme="minorEastAsia"/>
                <w:lang w:val="en-GB"/>
              </w:rPr>
              <w:t>%</w:t>
            </w:r>
          </w:p>
        </w:tc>
      </w:tr>
      <w:tr w:rsidR="21A18194" w:rsidTr="54DDD14F" w14:paraId="648B126F" w14:textId="77777777">
        <w:tc>
          <w:tcPr>
            <w:tcW w:w="1800" w:type="dxa"/>
            <w:shd w:val="clear" w:color="auto" w:fill="D9D9D9" w:themeFill="background1" w:themeFillShade="D9"/>
            <w:tcMar/>
          </w:tcPr>
          <w:p w:rsidR="21A18194" w:rsidP="21A18194" w:rsidRDefault="21A18194" w14:paraId="040CDCB2" w14:textId="740ECCCF">
            <w:pPr>
              <w:rPr>
                <w:rFonts w:eastAsiaTheme="minorEastAsia"/>
                <w:b/>
                <w:bCs/>
                <w:lang w:val="en-GB"/>
              </w:rPr>
            </w:pPr>
            <w:r w:rsidRPr="21A18194">
              <w:rPr>
                <w:rFonts w:eastAsiaTheme="minorEastAsia"/>
                <w:b/>
                <w:bCs/>
                <w:lang w:val="en-GB"/>
              </w:rPr>
              <w:t>UK AVERAGE</w:t>
            </w:r>
          </w:p>
        </w:tc>
        <w:tc>
          <w:tcPr>
            <w:tcW w:w="1320" w:type="dxa"/>
            <w:shd w:val="clear" w:color="auto" w:fill="D9D9D9" w:themeFill="background1" w:themeFillShade="D9"/>
            <w:tcMar/>
          </w:tcPr>
          <w:p w:rsidR="21A18194" w:rsidP="21A18194" w:rsidRDefault="21A18194" w14:paraId="602733B0" w14:textId="31CB4AE7">
            <w:pPr>
              <w:rPr>
                <w:rFonts w:eastAsiaTheme="minorEastAsia"/>
                <w:b/>
                <w:bCs/>
                <w:lang w:val="en-GB"/>
              </w:rPr>
            </w:pPr>
            <w:r w:rsidRPr="21A18194">
              <w:rPr>
                <w:rFonts w:eastAsiaTheme="minorEastAsia"/>
                <w:b/>
                <w:bCs/>
                <w:lang w:val="en-GB"/>
              </w:rPr>
              <w:t>65%</w:t>
            </w:r>
          </w:p>
        </w:tc>
        <w:tc>
          <w:tcPr>
            <w:tcW w:w="1560" w:type="dxa"/>
            <w:shd w:val="clear" w:color="auto" w:fill="D9D9D9" w:themeFill="background1" w:themeFillShade="D9"/>
            <w:tcMar/>
          </w:tcPr>
          <w:p w:rsidR="21A18194" w:rsidP="54DDD14F" w:rsidRDefault="21A18194" w14:paraId="7919E815" w14:textId="6349E5BC">
            <w:pPr>
              <w:rPr>
                <w:rFonts w:eastAsia="" w:eastAsiaTheme="minorEastAsia"/>
                <w:b w:val="1"/>
                <w:bCs w:val="1"/>
                <w:lang w:val="en-GB"/>
              </w:rPr>
            </w:pPr>
            <w:r w:rsidRPr="54DDD14F" w:rsidR="54DDD14F">
              <w:rPr>
                <w:rFonts w:eastAsia="" w:eastAsiaTheme="minorEastAsia"/>
                <w:b w:val="1"/>
                <w:bCs w:val="1"/>
                <w:lang w:val="en-GB"/>
              </w:rPr>
              <w:t>3</w:t>
            </w:r>
            <w:r w:rsidRPr="54DDD14F" w:rsidR="54DDD14F">
              <w:rPr>
                <w:rFonts w:eastAsia="" w:eastAsiaTheme="minorEastAsia"/>
                <w:b w:val="1"/>
                <w:bCs w:val="1"/>
                <w:lang w:val="en-GB"/>
              </w:rPr>
              <w:t>1</w:t>
            </w:r>
            <w:r w:rsidRPr="54DDD14F" w:rsidR="54DDD14F">
              <w:rPr>
                <w:rFonts w:eastAsia="" w:eastAsiaTheme="minorEastAsia"/>
                <w:b w:val="1"/>
                <w:bCs w:val="1"/>
                <w:lang w:val="en-GB"/>
              </w:rPr>
              <w:t>%</w:t>
            </w:r>
          </w:p>
        </w:tc>
        <w:tc>
          <w:tcPr>
            <w:tcW w:w="1560" w:type="dxa"/>
            <w:shd w:val="clear" w:color="auto" w:fill="D9D9D9" w:themeFill="background1" w:themeFillShade="D9"/>
            <w:tcMar/>
          </w:tcPr>
          <w:p w:rsidR="21A18194" w:rsidP="21A18194" w:rsidRDefault="21A18194" w14:paraId="20B2DFDD" w14:textId="1948A532">
            <w:pPr>
              <w:rPr>
                <w:rFonts w:eastAsiaTheme="minorEastAsia"/>
                <w:b/>
                <w:bCs/>
                <w:lang w:val="en-GB"/>
              </w:rPr>
            </w:pPr>
            <w:r w:rsidRPr="21A18194">
              <w:rPr>
                <w:rFonts w:eastAsiaTheme="minorEastAsia"/>
                <w:b/>
                <w:bCs/>
                <w:lang w:val="en-GB"/>
              </w:rPr>
              <w:t>5%</w:t>
            </w:r>
          </w:p>
        </w:tc>
        <w:tc>
          <w:tcPr>
            <w:tcW w:w="1560" w:type="dxa"/>
            <w:shd w:val="clear" w:color="auto" w:fill="D9D9D9" w:themeFill="background1" w:themeFillShade="D9"/>
            <w:tcMar/>
          </w:tcPr>
          <w:p w:rsidR="21A18194" w:rsidP="54DDD14F" w:rsidRDefault="1EF5166C" w14:paraId="1DFA7031" w14:textId="7A41D65E">
            <w:pPr>
              <w:rPr>
                <w:rFonts w:eastAsia="" w:eastAsiaTheme="minorEastAsia"/>
                <w:b w:val="1"/>
                <w:bCs w:val="1"/>
                <w:lang w:val="en-GB"/>
              </w:rPr>
            </w:pPr>
            <w:r w:rsidRPr="54DDD14F" w:rsidR="54DDD14F">
              <w:rPr>
                <w:rFonts w:eastAsia="" w:eastAsiaTheme="minorEastAsia"/>
                <w:b w:val="1"/>
                <w:bCs w:val="1"/>
                <w:lang w:val="en-GB"/>
              </w:rPr>
              <w:t>6</w:t>
            </w:r>
            <w:r w:rsidRPr="54DDD14F" w:rsidR="54DDD14F">
              <w:rPr>
                <w:rFonts w:eastAsia="" w:eastAsiaTheme="minorEastAsia"/>
                <w:b w:val="1"/>
                <w:bCs w:val="1"/>
                <w:lang w:val="en-GB"/>
              </w:rPr>
              <w:t>2</w:t>
            </w:r>
            <w:r w:rsidRPr="54DDD14F" w:rsidR="54DDD14F">
              <w:rPr>
                <w:rFonts w:eastAsia="" w:eastAsiaTheme="minorEastAsia"/>
                <w:b w:val="1"/>
                <w:bCs w:val="1"/>
                <w:lang w:val="en-GB"/>
              </w:rPr>
              <w:t>%</w:t>
            </w:r>
          </w:p>
        </w:tc>
        <w:tc>
          <w:tcPr>
            <w:tcW w:w="1560" w:type="dxa"/>
            <w:shd w:val="clear" w:color="auto" w:fill="D9D9D9" w:themeFill="background1" w:themeFillShade="D9"/>
            <w:tcMar/>
          </w:tcPr>
          <w:p w:rsidR="21A18194" w:rsidP="1EF5166C" w:rsidRDefault="1EF5166C" w14:paraId="0223E086" w14:textId="7EA9FF75">
            <w:pPr>
              <w:rPr>
                <w:rFonts w:eastAsiaTheme="minorEastAsia"/>
                <w:b/>
                <w:bCs/>
                <w:lang w:val="en-GB"/>
              </w:rPr>
            </w:pPr>
            <w:r w:rsidRPr="1EF5166C">
              <w:rPr>
                <w:rFonts w:eastAsiaTheme="minorEastAsia"/>
                <w:b/>
                <w:bCs/>
                <w:lang w:val="en-GB"/>
              </w:rPr>
              <w:t>28%</w:t>
            </w:r>
          </w:p>
        </w:tc>
      </w:tr>
    </w:tbl>
    <w:p w:rsidR="21A18194" w:rsidRDefault="21A18194" w14:paraId="23DABFA0" w14:textId="03B96124"/>
    <w:p w:rsidR="21A18194" w:rsidP="54DDD14F" w:rsidRDefault="1EF5166C" w14:paraId="1F8FC208" w14:textId="0A045711">
      <w:pPr>
        <w:rPr>
          <w:rFonts w:ascii="Calibri" w:hAnsi="Calibri" w:eastAsia="Calibri" w:cs="Calibri"/>
          <w:lang w:val="en-GB"/>
        </w:rPr>
      </w:pPr>
      <w:r w:rsidR="54DDD14F">
        <w:rPr/>
        <w:t xml:space="preserve">While the annual residential nursing home fees are more affordable than age-proofing and at-home care in the </w:t>
      </w:r>
      <w:r w:rsidR="54DDD14F">
        <w:rPr/>
        <w:t>North East</w:t>
      </w:r>
      <w:r w:rsidR="54DDD14F">
        <w:rPr/>
        <w:t xml:space="preserve">, Yorkshire and the Humber and Northern Ireland, figures in the table above show investing in age-proofing pays off in the long run. When scaling residential nursing care costs </w:t>
      </w:r>
      <w:r w:rsidRPr="54DDD14F" w:rsidR="54DDD14F">
        <w:rPr>
          <w:rFonts w:ascii="Calibri" w:hAnsi="Calibri" w:eastAsia="Calibri" w:cs="Calibri"/>
          <w:lang w:val="en-GB"/>
        </w:rPr>
        <w:t xml:space="preserve">over 5 years (and accounting for 3% fee rises in line with inflation), analysis shows it is 28% cheaper on average to receive full-time care at home and benefit from </w:t>
      </w:r>
      <w:r w:rsidRPr="54DDD14F" w:rsidR="54DDD14F">
        <w:rPr>
          <w:rFonts w:ascii="Calibri" w:hAnsi="Calibri" w:eastAsia="Calibri" w:cs="Calibri"/>
          <w:lang w:val="en-GB"/>
        </w:rPr>
        <w:t>investing in ‘</w:t>
      </w:r>
      <w:r w:rsidRPr="54DDD14F" w:rsidR="54DDD14F">
        <w:rPr>
          <w:rFonts w:ascii="Calibri" w:hAnsi="Calibri" w:eastAsia="Calibri" w:cs="Calibri"/>
          <w:lang w:val="en-GB"/>
        </w:rPr>
        <w:t>age-proofing</w:t>
      </w:r>
      <w:r w:rsidRPr="54DDD14F" w:rsidR="54DDD14F">
        <w:rPr>
          <w:rFonts w:ascii="Calibri" w:hAnsi="Calibri" w:eastAsia="Calibri" w:cs="Calibri"/>
          <w:lang w:val="en-GB"/>
        </w:rPr>
        <w:t>’</w:t>
      </w:r>
      <w:r w:rsidRPr="54DDD14F" w:rsidR="54DDD14F">
        <w:rPr>
          <w:rFonts w:ascii="Calibri" w:hAnsi="Calibri" w:eastAsia="Calibri" w:cs="Calibri"/>
          <w:lang w:val="en-GB"/>
        </w:rPr>
        <w:t xml:space="preserve"> </w:t>
      </w:r>
      <w:r w:rsidRPr="54DDD14F" w:rsidR="54DDD14F">
        <w:rPr>
          <w:rFonts w:ascii="Calibri" w:hAnsi="Calibri" w:eastAsia="Calibri" w:cs="Calibri"/>
          <w:lang w:val="en-GB"/>
        </w:rPr>
        <w:t>solutions</w:t>
      </w:r>
      <w:r w:rsidRPr="54DDD14F" w:rsidR="54DDD14F">
        <w:rPr>
          <w:rFonts w:ascii="Calibri" w:hAnsi="Calibri" w:eastAsia="Calibri" w:cs="Calibri"/>
          <w:lang w:val="en-GB"/>
        </w:rPr>
        <w:t>, no matter where you live in the UK.</w:t>
      </w:r>
    </w:p>
    <w:p w:rsidR="21A18194" w:rsidP="4C3FCFD6" w:rsidRDefault="1EF5166C" w14:paraId="49CD74C9" w14:textId="4C1A165D">
      <w:pPr>
        <w:spacing w:after="390" w:line="240" w:lineRule="auto"/>
        <w:rPr>
          <w:rFonts w:ascii="Calibri" w:hAnsi="Calibri" w:eastAsia="Calibri" w:cs="Calibri"/>
          <w:lang w:val="en-GB"/>
        </w:rPr>
      </w:pPr>
      <w:r w:rsidRPr="4C3FCFD6" w:rsidR="4C3FCFD6">
        <w:rPr>
          <w:rFonts w:ascii="Calibri" w:hAnsi="Calibri" w:eastAsia="Calibri" w:cs="Calibri"/>
          <w:b w:val="1"/>
          <w:bCs w:val="1"/>
          <w:lang w:val="en-GB"/>
        </w:rPr>
        <w:t xml:space="preserve">Matt Herbert, </w:t>
      </w:r>
      <w:r w:rsidRPr="4C3FCFD6" w:rsidR="4C3FCFD6">
        <w:rPr>
          <w:rFonts w:ascii="Calibri" w:hAnsi="Calibri" w:eastAsia="Calibri" w:cs="Calibri"/>
          <w:b w:val="1"/>
          <w:bCs w:val="1"/>
          <w:lang w:val="en-GB"/>
        </w:rPr>
        <w:t xml:space="preserve">Senior Market Analyst </w:t>
      </w:r>
      <w:r w:rsidRPr="4C3FCFD6" w:rsidR="4C3FCFD6">
        <w:rPr>
          <w:rFonts w:ascii="Calibri" w:hAnsi="Calibri" w:eastAsia="Calibri" w:cs="Calibri"/>
          <w:b w:val="1"/>
          <w:bCs w:val="1"/>
          <w:lang w:val="en-GB"/>
        </w:rPr>
        <w:t>for Mira Showers said:</w:t>
      </w:r>
      <w:r w:rsidRPr="4C3FCFD6" w:rsidR="4C3FCFD6">
        <w:rPr>
          <w:rFonts w:ascii="Calibri" w:hAnsi="Calibri" w:eastAsia="Calibri" w:cs="Calibri"/>
          <w:lang w:val="en-GB"/>
        </w:rPr>
        <w:t xml:space="preserve"> </w:t>
      </w:r>
      <w:r w:rsidRPr="4C3FCFD6" w:rsidR="4C3FCFD6">
        <w:rPr>
          <w:rFonts w:ascii="Calibri" w:hAnsi="Calibri" w:eastAsia="Calibri" w:cs="Calibri"/>
          <w:i w:val="1"/>
          <w:iCs w:val="1"/>
          <w:lang w:val="en-GB"/>
        </w:rPr>
        <w:t xml:space="preserve">“This calculator changes the game for the aging population. For many, growing old at home seems like a pipe dream. But in terms of costs, it could </w:t>
      </w:r>
      <w:proofErr w:type="gramStart"/>
      <w:r w:rsidRPr="4C3FCFD6" w:rsidR="4C3FCFD6">
        <w:rPr>
          <w:rFonts w:ascii="Calibri" w:hAnsi="Calibri" w:eastAsia="Calibri" w:cs="Calibri"/>
          <w:i w:val="1"/>
          <w:iCs w:val="1"/>
          <w:lang w:val="en-GB"/>
        </w:rPr>
        <w:t>actually work</w:t>
      </w:r>
      <w:proofErr w:type="gramEnd"/>
      <w:r w:rsidRPr="4C3FCFD6" w:rsidR="4C3FCFD6">
        <w:rPr>
          <w:rFonts w:ascii="Calibri" w:hAnsi="Calibri" w:eastAsia="Calibri" w:cs="Calibri"/>
          <w:i w:val="1"/>
          <w:iCs w:val="1"/>
          <w:lang w:val="en-GB"/>
        </w:rPr>
        <w:t xml:space="preserve"> out better for them in the long run. This tool puts the choice firmly back into the hands not only of those who want to stay at home, but also those who haven’t been able to get the care home place they wanted.”</w:t>
      </w:r>
    </w:p>
    <w:p w:rsidR="21A18194" w:rsidP="2DF72A2D" w:rsidRDefault="00CF7A8F" w14:paraId="20DE73B3" w14:textId="5875EB0D">
      <w:pPr>
        <w:spacing w:beforeAutospacing="on" w:line="240" w:lineRule="auto"/>
        <w:jc w:val="both"/>
        <w:rPr>
          <w:rFonts w:eastAsia="" w:eastAsiaTheme="minorEastAsia"/>
          <w:i w:val="1"/>
          <w:iCs w:val="1"/>
          <w:lang w:val="en-GB"/>
        </w:rPr>
      </w:pPr>
      <w:r w:rsidRPr="2DF72A2D" w:rsidR="2DF72A2D">
        <w:rPr>
          <w:rFonts w:eastAsia="" w:eastAsiaTheme="minorEastAsia"/>
          <w:b w:val="1"/>
          <w:bCs w:val="1"/>
          <w:lang w:val="en-GB"/>
        </w:rPr>
        <w:t>Roland Boal, Lead Industrial Designer at Mira Showers said:</w:t>
      </w:r>
      <w:r w:rsidRPr="2DF72A2D" w:rsidR="2DF72A2D">
        <w:rPr>
          <w:rFonts w:eastAsia="" w:eastAsiaTheme="minorEastAsia"/>
          <w:lang w:val="en-GB"/>
        </w:rPr>
        <w:t xml:space="preserve"> </w:t>
      </w:r>
      <w:r w:rsidRPr="2DF72A2D" w:rsidR="2DF72A2D">
        <w:rPr>
          <w:rFonts w:eastAsia="" w:eastAsiaTheme="minorEastAsia"/>
          <w:i w:val="1"/>
          <w:iCs w:val="1"/>
          <w:lang w:val="en-GB"/>
        </w:rPr>
        <w:t>“Brands across the globe have spent vast amounts of money on research and development to develop products which improve living for those less-abled which is fantastic, but now that the fundamentals of those designs are in place, it’s time we started putting more care and attention into the style of these products. Our research has clearly shown that over 65s in the UK still have an eye for design and a desire to keep their home their haven.”</w:t>
      </w:r>
    </w:p>
    <w:p w:rsidR="763EC571" w:rsidP="70EA3D81" w:rsidRDefault="1EF5166C" w14:paraId="62A7B147" w14:textId="7F4110BC">
      <w:pPr>
        <w:spacing w:beforeAutospacing="on" w:after="60" w:line="240" w:lineRule="auto"/>
        <w:rPr>
          <w:rFonts w:ascii="Calibri" w:hAnsi="Calibri" w:eastAsia="Calibri" w:cs="Calibri"/>
          <w:b w:val="1"/>
          <w:bCs w:val="1"/>
          <w:lang w:val="en-GB"/>
        </w:rPr>
      </w:pPr>
      <w:r w:rsidRPr="70EA3D81" w:rsidR="70EA3D81">
        <w:rPr>
          <w:rFonts w:ascii="Calibri" w:hAnsi="Calibri" w:eastAsia="Calibri" w:cs="Calibri"/>
          <w:lang w:val="en-GB"/>
        </w:rPr>
        <w:t xml:space="preserve">Readers can discover what options are best suited to their needs and budget by using the </w:t>
      </w:r>
      <w:hyperlink r:id="R29371c608fe34bbf">
        <w:r w:rsidRPr="70EA3D81" w:rsidR="70EA3D81">
          <w:rPr>
            <w:rStyle w:val="Hyperlink"/>
            <w:rFonts w:ascii="Calibri" w:hAnsi="Calibri" w:eastAsia="Calibri" w:cs="Calibri"/>
            <w:b w:val="1"/>
            <w:bCs w:val="1"/>
            <w:lang w:val="en-GB"/>
          </w:rPr>
          <w:t>Cost of Care calculator.</w:t>
        </w:r>
      </w:hyperlink>
    </w:p>
    <w:p w:rsidR="00CF7A8F" w:rsidP="00CF7A8F" w:rsidRDefault="00CF7A8F" w14:paraId="7E2C0902" w14:textId="2076CE90">
      <w:pPr>
        <w:spacing w:beforeAutospacing="1" w:after="60" w:line="240" w:lineRule="auto"/>
        <w:jc w:val="center"/>
        <w:rPr>
          <w:rFonts w:ascii="Calibri" w:hAnsi="Calibri" w:eastAsia="Calibri" w:cs="Calibri"/>
          <w:b/>
          <w:bCs/>
          <w:lang w:val="en-GB"/>
        </w:rPr>
      </w:pPr>
      <w:r>
        <w:rPr>
          <w:rFonts w:ascii="Calibri" w:hAnsi="Calibri" w:eastAsia="Calibri" w:cs="Calibri"/>
          <w:b/>
          <w:bCs/>
          <w:lang w:val="en-GB"/>
        </w:rPr>
        <w:t>ENDS</w:t>
      </w:r>
    </w:p>
    <w:p w:rsidR="763EC571" w:rsidP="763EC571" w:rsidRDefault="763EC571" w14:paraId="100288FE" w14:textId="75B3CB5F">
      <w:pPr>
        <w:rPr>
          <w:rFonts w:ascii="Calibri" w:hAnsi="Calibri" w:eastAsia="Calibri" w:cs="Calibri"/>
        </w:rPr>
      </w:pPr>
    </w:p>
    <w:p w:rsidR="763EC571" w:rsidP="763EC571" w:rsidRDefault="72F5C400" w14:paraId="0654A6ED" w14:textId="1385B19B">
      <w:pPr>
        <w:rPr>
          <w:rFonts w:ascii="Calibri" w:hAnsi="Calibri" w:eastAsia="Calibri" w:cs="Calibri"/>
          <w:b/>
          <w:bCs/>
        </w:rPr>
      </w:pPr>
      <w:r w:rsidRPr="72F5C400">
        <w:rPr>
          <w:rFonts w:ascii="Calibri" w:hAnsi="Calibri" w:eastAsia="Calibri" w:cs="Calibri"/>
          <w:b/>
          <w:bCs/>
        </w:rPr>
        <w:lastRenderedPageBreak/>
        <w:t>Note to Editor</w:t>
      </w:r>
    </w:p>
    <w:p w:rsidRPr="00CF7A8F" w:rsidR="72F5C400" w:rsidP="1EF5166C" w:rsidRDefault="1EF5166C" w14:paraId="5AE1F71A" w14:textId="5C379D25">
      <w:pPr>
        <w:pStyle w:val="ListParagraph"/>
        <w:numPr>
          <w:ilvl w:val="0"/>
          <w:numId w:val="7"/>
        </w:numPr>
        <w:rPr>
          <w:rStyle w:val="Hyperlink"/>
          <w:color w:val="auto"/>
          <w:sz w:val="18"/>
          <w:szCs w:val="18"/>
          <w:u w:val="none"/>
        </w:rPr>
      </w:pPr>
      <w:r w:rsidRPr="1EF5166C">
        <w:rPr>
          <w:rFonts w:ascii="Calibri Light" w:hAnsi="Calibri Light" w:eastAsia="Calibri Light" w:cs="Calibri Light"/>
          <w:sz w:val="18"/>
          <w:szCs w:val="18"/>
          <w:lang w:val="en-GB"/>
        </w:rPr>
        <w:t xml:space="preserve">By 2041, the number of UK adults over 67-years old is expected to increase to 16.3m, up from 12.4m in 2016 – an increase of 31% over 25 years. </w:t>
      </w:r>
      <w:hyperlink r:id="rId11">
        <w:r w:rsidRPr="1EF5166C">
          <w:rPr>
            <w:rStyle w:val="Hyperlink"/>
            <w:rFonts w:ascii="Calibri Light" w:hAnsi="Calibri Light" w:eastAsia="Calibri Light" w:cs="Calibri Light"/>
            <w:color w:val="0563C1"/>
            <w:sz w:val="18"/>
            <w:szCs w:val="18"/>
            <w:lang w:val="en-GB"/>
          </w:rPr>
          <w:t>Source, ONS National Population Projections: 2016-based statistical bulletin.</w:t>
        </w:r>
      </w:hyperlink>
    </w:p>
    <w:p w:rsidRPr="00CF7A8F" w:rsidR="00CF7A8F" w:rsidP="00CF7A8F" w:rsidRDefault="00CF7A8F" w14:paraId="5C948C7A" w14:textId="04B9EB55">
      <w:pPr>
        <w:pStyle w:val="ListParagraph"/>
        <w:numPr>
          <w:ilvl w:val="0"/>
          <w:numId w:val="7"/>
        </w:numPr>
        <w:rPr>
          <w:sz w:val="18"/>
          <w:szCs w:val="18"/>
        </w:rPr>
      </w:pPr>
      <w:r w:rsidRPr="1EF5166C">
        <w:rPr>
          <w:rFonts w:ascii="Calibri" w:hAnsi="Calibri" w:eastAsia="Calibri" w:cs="Calibri"/>
          <w:sz w:val="18"/>
          <w:szCs w:val="18"/>
        </w:rPr>
        <w:t xml:space="preserve">1,000 over 65-year-olds from across the UK were </w:t>
      </w:r>
      <w:hyperlink r:id="rId12">
        <w:r w:rsidRPr="1EF5166C">
          <w:rPr>
            <w:rStyle w:val="Hyperlink"/>
            <w:rFonts w:ascii="Calibri" w:hAnsi="Calibri" w:eastAsia="Calibri" w:cs="Calibri"/>
            <w:sz w:val="18"/>
            <w:szCs w:val="18"/>
          </w:rPr>
          <w:t>surveyed</w:t>
        </w:r>
      </w:hyperlink>
      <w:r w:rsidRPr="1EF5166C">
        <w:rPr>
          <w:rFonts w:ascii="Calibri" w:hAnsi="Calibri" w:eastAsia="Calibri" w:cs="Calibri"/>
          <w:sz w:val="18"/>
          <w:szCs w:val="18"/>
        </w:rPr>
        <w:t xml:space="preserve"> in May 2018 on behalf of Mira Showers.</w:t>
      </w:r>
    </w:p>
    <w:p w:rsidRPr="00CF7A8F" w:rsidR="00CF7A8F" w:rsidP="00CF7A8F" w:rsidRDefault="00CF7A8F" w14:paraId="6B85CBC1" w14:textId="6C458C37">
      <w:pPr>
        <w:pStyle w:val="ListParagraph"/>
        <w:numPr>
          <w:ilvl w:val="0"/>
          <w:numId w:val="7"/>
        </w:numPr>
        <w:rPr>
          <w:sz w:val="18"/>
          <w:szCs w:val="18"/>
        </w:rPr>
      </w:pPr>
      <w:r w:rsidRPr="00CF7A8F">
        <w:rPr>
          <w:sz w:val="18"/>
          <w:szCs w:val="18"/>
        </w:rPr>
        <w:t>‘Age-proofing’ may include installing a stairlift, purchasing a riser chair or re-doing the bathroom.</w:t>
      </w:r>
    </w:p>
    <w:p w:rsidRPr="00CF7A8F" w:rsidR="763EC571" w:rsidP="1EF5166C" w:rsidRDefault="1EF5166C" w14:paraId="0D5E52D9" w14:textId="0E75375C">
      <w:pPr>
        <w:pStyle w:val="ListParagraph"/>
        <w:numPr>
          <w:ilvl w:val="0"/>
          <w:numId w:val="7"/>
        </w:numPr>
        <w:rPr>
          <w:sz w:val="18"/>
          <w:szCs w:val="18"/>
        </w:rPr>
      </w:pPr>
      <w:r w:rsidRPr="1EF5166C">
        <w:rPr>
          <w:rFonts w:ascii="Calibri" w:hAnsi="Calibri" w:eastAsia="Calibri" w:cs="Calibri"/>
          <w:sz w:val="18"/>
          <w:szCs w:val="18"/>
        </w:rPr>
        <w:t xml:space="preserve">Regional average figures for residential care home costs with/without nursing from </w:t>
      </w:r>
      <w:hyperlink r:id="rId13">
        <w:r w:rsidRPr="1EF5166C">
          <w:rPr>
            <w:rStyle w:val="Hyperlink"/>
            <w:rFonts w:ascii="Calibri" w:hAnsi="Calibri" w:eastAsia="Calibri" w:cs="Calibri"/>
            <w:sz w:val="18"/>
            <w:szCs w:val="18"/>
          </w:rPr>
          <w:t>LaingBuisson</w:t>
        </w:r>
      </w:hyperlink>
      <w:r w:rsidRPr="1EF5166C">
        <w:rPr>
          <w:rFonts w:ascii="Calibri" w:hAnsi="Calibri" w:eastAsia="Calibri" w:cs="Calibri"/>
          <w:sz w:val="18"/>
          <w:szCs w:val="18"/>
        </w:rPr>
        <w:t>’s Care of Older People UK Market Report 29</w:t>
      </w:r>
      <w:r w:rsidRPr="1EF5166C">
        <w:rPr>
          <w:rFonts w:ascii="Calibri" w:hAnsi="Calibri" w:eastAsia="Calibri" w:cs="Calibri"/>
          <w:sz w:val="18"/>
          <w:szCs w:val="18"/>
          <w:vertAlign w:val="superscript"/>
        </w:rPr>
        <w:t>th</w:t>
      </w:r>
      <w:r w:rsidRPr="1EF5166C">
        <w:rPr>
          <w:rFonts w:ascii="Calibri" w:hAnsi="Calibri" w:eastAsia="Calibri" w:cs="Calibri"/>
          <w:sz w:val="18"/>
          <w:szCs w:val="18"/>
        </w:rPr>
        <w:t xml:space="preserve"> Edition 2018. </w:t>
      </w:r>
    </w:p>
    <w:p w:rsidR="00CF7A8F" w:rsidP="00CF7A8F" w:rsidRDefault="00CF7A8F" w14:paraId="267EC010" w14:textId="77777777">
      <w:pPr>
        <w:pStyle w:val="ListParagraph"/>
        <w:numPr>
          <w:ilvl w:val="0"/>
          <w:numId w:val="7"/>
        </w:numPr>
        <w:rPr>
          <w:sz w:val="18"/>
          <w:szCs w:val="18"/>
          <w:lang w:val="en-GB"/>
        </w:rPr>
      </w:pPr>
      <w:r w:rsidRPr="1EF5166C">
        <w:rPr>
          <w:rFonts w:ascii="Calibri" w:hAnsi="Calibri" w:eastAsia="Calibri" w:cs="Calibri"/>
          <w:sz w:val="18"/>
          <w:szCs w:val="18"/>
        </w:rPr>
        <w:t>Basic ‘age-proofing’ costs reflected in the calculator include:</w:t>
      </w:r>
      <w:r>
        <w:br/>
      </w:r>
      <w:r w:rsidRPr="1EF5166C">
        <w:rPr>
          <w:rFonts w:ascii="Calibri" w:hAnsi="Calibri" w:eastAsia="Calibri" w:cs="Calibri"/>
          <w:sz w:val="18"/>
          <w:szCs w:val="18"/>
        </w:rPr>
        <w:t>- Average cost of an adjustable double bed (£2,200.00)</w:t>
      </w:r>
      <w:r>
        <w:br/>
      </w:r>
      <w:r w:rsidRPr="1EF5166C">
        <w:rPr>
          <w:rFonts w:ascii="Calibri" w:hAnsi="Calibri" w:eastAsia="Calibri" w:cs="Calibri"/>
          <w:sz w:val="18"/>
          <w:szCs w:val="18"/>
        </w:rPr>
        <w:t>- Average cost of a riser chair (£899.00)</w:t>
      </w:r>
      <w:r>
        <w:br/>
      </w:r>
      <w:r w:rsidRPr="1EF5166C">
        <w:rPr>
          <w:rFonts w:ascii="Calibri" w:hAnsi="Calibri" w:eastAsia="Calibri" w:cs="Calibri"/>
          <w:sz w:val="18"/>
          <w:szCs w:val="18"/>
        </w:rPr>
        <w:t xml:space="preserve">- Average bathroom installation costs for each UK region (quoted by local installers - actual installation fees vary depending on installer chosen) </w:t>
      </w:r>
      <w:r>
        <w:br/>
      </w:r>
      <w:r w:rsidRPr="1EF5166C">
        <w:rPr>
          <w:rFonts w:ascii="Calibri" w:hAnsi="Calibri" w:eastAsia="Calibri" w:cs="Calibri"/>
          <w:sz w:val="18"/>
          <w:szCs w:val="18"/>
        </w:rPr>
        <w:t xml:space="preserve">- The following bathroom products from Mira Showers’ </w:t>
      </w:r>
      <w:hyperlink r:id="rId14">
        <w:r w:rsidRPr="1EF5166C">
          <w:rPr>
            <w:rStyle w:val="Hyperlink"/>
            <w:rFonts w:ascii="Calibri" w:hAnsi="Calibri" w:eastAsia="Calibri" w:cs="Calibri"/>
            <w:sz w:val="18"/>
            <w:szCs w:val="18"/>
          </w:rPr>
          <w:t>Independent Living</w:t>
        </w:r>
      </w:hyperlink>
      <w:r w:rsidRPr="1EF5166C">
        <w:rPr>
          <w:rFonts w:ascii="Calibri" w:hAnsi="Calibri" w:eastAsia="Calibri" w:cs="Calibri"/>
          <w:sz w:val="18"/>
          <w:szCs w:val="18"/>
        </w:rPr>
        <w:t xml:space="preserve"> range:</w:t>
      </w:r>
      <w:r>
        <w:br/>
      </w:r>
      <w:r w:rsidRPr="1EF5166C">
        <w:rPr>
          <w:rFonts w:ascii="Calibri" w:hAnsi="Calibri" w:eastAsia="Calibri" w:cs="Calibri"/>
          <w:sz w:val="18"/>
          <w:szCs w:val="18"/>
        </w:rPr>
        <w:t xml:space="preserve">a) </w:t>
      </w:r>
      <w:hyperlink r:id="rId15">
        <w:r w:rsidRPr="1EF5166C">
          <w:rPr>
            <w:rStyle w:val="Hyperlink"/>
            <w:rFonts w:ascii="Calibri" w:hAnsi="Calibri" w:eastAsia="Calibri" w:cs="Calibri"/>
            <w:sz w:val="18"/>
            <w:szCs w:val="18"/>
          </w:rPr>
          <w:t>Mira Vision Flex (£843.36)</w:t>
        </w:r>
      </w:hyperlink>
      <w:r w:rsidRPr="1EF5166C">
        <w:rPr>
          <w:rFonts w:ascii="Calibri" w:hAnsi="Calibri" w:eastAsia="Calibri" w:cs="Calibri"/>
          <w:sz w:val="18"/>
          <w:szCs w:val="18"/>
          <w:lang w:val="en-GB"/>
        </w:rPr>
        <w:t xml:space="preserve"> </w:t>
      </w:r>
    </w:p>
    <w:p w:rsidR="00CF7A8F" w:rsidP="00CF7A8F" w:rsidRDefault="00CF7A8F" w14:paraId="679AF54F" w14:textId="77777777">
      <w:pPr>
        <w:ind w:left="360" w:firstLine="360"/>
        <w:rPr>
          <w:sz w:val="18"/>
          <w:szCs w:val="18"/>
          <w:lang w:val="en-GB"/>
        </w:rPr>
      </w:pPr>
      <w:r w:rsidRPr="1EF5166C">
        <w:rPr>
          <w:rFonts w:ascii="Calibri" w:hAnsi="Calibri" w:eastAsia="Calibri" w:cs="Calibri"/>
          <w:sz w:val="18"/>
          <w:szCs w:val="18"/>
        </w:rPr>
        <w:t>b)</w:t>
      </w:r>
      <w:r w:rsidRPr="1EF5166C">
        <w:rPr>
          <w:rStyle w:val="Hyperlink"/>
          <w:rFonts w:ascii="Calibri" w:hAnsi="Calibri" w:eastAsia="Calibri" w:cs="Calibri"/>
          <w:sz w:val="18"/>
          <w:szCs w:val="18"/>
          <w:lang w:val="en-GB"/>
        </w:rPr>
        <w:t xml:space="preserve"> </w:t>
      </w:r>
      <w:hyperlink r:id="rId16">
        <w:r w:rsidRPr="1EF5166C">
          <w:rPr>
            <w:rStyle w:val="Hyperlink"/>
            <w:rFonts w:ascii="Calibri" w:hAnsi="Calibri" w:eastAsia="Calibri" w:cs="Calibri"/>
            <w:sz w:val="18"/>
            <w:szCs w:val="18"/>
            <w:lang w:val="en-GB"/>
          </w:rPr>
          <w:t>Flight Safe Shower Tray (£111.72)</w:t>
        </w:r>
      </w:hyperlink>
    </w:p>
    <w:p w:rsidR="00CF7A8F" w:rsidP="00CF7A8F" w:rsidRDefault="00CF7A8F" w14:paraId="3EC1CD30" w14:textId="77777777">
      <w:pPr>
        <w:ind w:left="360" w:firstLine="360"/>
        <w:rPr>
          <w:sz w:val="18"/>
          <w:szCs w:val="18"/>
          <w:lang w:val="en-GB"/>
        </w:rPr>
      </w:pPr>
      <w:r w:rsidRPr="1EF5166C">
        <w:rPr>
          <w:rFonts w:ascii="Calibri" w:hAnsi="Calibri" w:eastAsia="Calibri" w:cs="Calibri"/>
          <w:sz w:val="18"/>
          <w:szCs w:val="18"/>
        </w:rPr>
        <w:t xml:space="preserve">d) </w:t>
      </w:r>
      <w:hyperlink r:id="rId17">
        <w:r w:rsidRPr="1EF5166C">
          <w:rPr>
            <w:rStyle w:val="Hyperlink"/>
            <w:rFonts w:ascii="Calibri" w:hAnsi="Calibri" w:eastAsia="Calibri" w:cs="Calibri"/>
            <w:sz w:val="18"/>
            <w:szCs w:val="18"/>
            <w:lang w:val="en-GB"/>
          </w:rPr>
          <w:t>Leap Divider Panel (£280.00)</w:t>
        </w:r>
      </w:hyperlink>
    </w:p>
    <w:p w:rsidR="00CF7A8F" w:rsidP="00CF7A8F" w:rsidRDefault="00CF7A8F" w14:paraId="2BE97D16" w14:textId="77777777">
      <w:pPr>
        <w:ind w:left="360" w:firstLine="360"/>
        <w:rPr>
          <w:rFonts w:ascii="Calibri" w:hAnsi="Calibri" w:eastAsia="Calibri" w:cs="Calibri"/>
          <w:sz w:val="18"/>
          <w:szCs w:val="18"/>
          <w:lang w:val="en-GB"/>
        </w:rPr>
      </w:pPr>
      <w:r w:rsidRPr="1EF5166C">
        <w:rPr>
          <w:rFonts w:ascii="Calibri" w:hAnsi="Calibri" w:eastAsia="Calibri" w:cs="Calibri"/>
          <w:sz w:val="18"/>
          <w:szCs w:val="18"/>
        </w:rPr>
        <w:t>e)</w:t>
      </w:r>
      <w:r w:rsidRPr="1EF5166C">
        <w:rPr>
          <w:rStyle w:val="Hyperlink"/>
          <w:rFonts w:ascii="Calibri" w:hAnsi="Calibri" w:eastAsia="Calibri" w:cs="Calibri"/>
          <w:sz w:val="18"/>
          <w:szCs w:val="18"/>
          <w:lang w:val="en-GB"/>
        </w:rPr>
        <w:t xml:space="preserve"> </w:t>
      </w:r>
      <w:hyperlink r:id="rId18">
        <w:r w:rsidRPr="1EF5166C">
          <w:rPr>
            <w:rStyle w:val="Hyperlink"/>
            <w:rFonts w:ascii="Calibri" w:hAnsi="Calibri" w:eastAsia="Calibri" w:cs="Calibri"/>
            <w:sz w:val="18"/>
            <w:szCs w:val="18"/>
            <w:lang w:val="en-GB"/>
          </w:rPr>
          <w:t>Shower Seat (£178.49)</w:t>
        </w:r>
      </w:hyperlink>
    </w:p>
    <w:p w:rsidR="00CF7A8F" w:rsidP="00CF7A8F" w:rsidRDefault="00CF7A8F" w14:paraId="377075E2" w14:textId="77777777">
      <w:pPr>
        <w:ind w:left="360" w:firstLine="360"/>
        <w:rPr>
          <w:sz w:val="18"/>
          <w:szCs w:val="18"/>
          <w:lang w:val="en-GB"/>
        </w:rPr>
      </w:pPr>
      <w:r w:rsidRPr="1EF5166C">
        <w:rPr>
          <w:rFonts w:ascii="Calibri" w:hAnsi="Calibri" w:eastAsia="Calibri" w:cs="Calibri"/>
          <w:sz w:val="18"/>
          <w:szCs w:val="18"/>
        </w:rPr>
        <w:t xml:space="preserve">f) </w:t>
      </w:r>
      <w:hyperlink r:id="rId19">
        <w:r w:rsidRPr="1EF5166C">
          <w:rPr>
            <w:rStyle w:val="Hyperlink"/>
            <w:rFonts w:ascii="Calibri" w:hAnsi="Calibri" w:eastAsia="Calibri" w:cs="Calibri"/>
            <w:sz w:val="18"/>
            <w:szCs w:val="18"/>
            <w:lang w:val="en-GB"/>
          </w:rPr>
          <w:t>Grab Rail (£110.26)</w:t>
        </w:r>
      </w:hyperlink>
      <w:r w:rsidRPr="1EF5166C">
        <w:rPr>
          <w:rFonts w:ascii="Calibri" w:hAnsi="Calibri" w:eastAsia="Calibri" w:cs="Calibri"/>
          <w:sz w:val="18"/>
          <w:szCs w:val="18"/>
          <w:lang w:val="en-GB"/>
        </w:rPr>
        <w:t xml:space="preserve"> </w:t>
      </w:r>
    </w:p>
    <w:p w:rsidRPr="00CF7A8F" w:rsidR="00CF7A8F" w:rsidP="294CE1EA" w:rsidRDefault="00CF7A8F" w14:paraId="41D973DA" w14:textId="721F00A5">
      <w:pPr>
        <w:ind w:left="720"/>
        <w:rPr>
          <w:rFonts w:ascii="Calibri" w:hAnsi="Calibri" w:eastAsia="Calibri" w:cs="Calibri"/>
          <w:sz w:val="18"/>
          <w:szCs w:val="18"/>
          <w:lang w:val="en-GB"/>
        </w:rPr>
      </w:pPr>
      <w:r w:rsidRPr="294CE1EA" w:rsidR="294CE1EA">
        <w:rPr>
          <w:rFonts w:ascii="Calibri" w:hAnsi="Calibri" w:eastAsia="Calibri" w:cs="Calibri"/>
          <w:sz w:val="18"/>
          <w:szCs w:val="18"/>
          <w:lang w:val="en-GB"/>
        </w:rPr>
        <w:t xml:space="preserve">Hi-res images of these products are available to download from </w:t>
      </w:r>
      <w:r w:rsidRPr="294CE1EA" w:rsidR="294CE1EA">
        <w:rPr>
          <w:rFonts w:ascii="Calibri" w:hAnsi="Calibri" w:eastAsia="Calibri" w:cs="Calibri"/>
          <w:sz w:val="18"/>
          <w:szCs w:val="18"/>
          <w:lang w:val="en-GB"/>
        </w:rPr>
        <w:t xml:space="preserve">Dropbox </w:t>
      </w:r>
      <w:hyperlink r:id="R736593adec464ead">
        <w:r w:rsidRPr="294CE1EA" w:rsidR="294CE1EA">
          <w:rPr>
            <w:rStyle w:val="Hyperlink"/>
            <w:rFonts w:ascii="Calibri" w:hAnsi="Calibri" w:eastAsia="Calibri" w:cs="Calibri"/>
            <w:sz w:val="18"/>
            <w:szCs w:val="18"/>
            <w:lang w:val="en-GB"/>
          </w:rPr>
          <w:t>here</w:t>
        </w:r>
      </w:hyperlink>
      <w:r w:rsidRPr="294CE1EA" w:rsidR="294CE1EA">
        <w:rPr>
          <w:rFonts w:ascii="Calibri" w:hAnsi="Calibri" w:eastAsia="Calibri" w:cs="Calibri"/>
          <w:sz w:val="18"/>
          <w:szCs w:val="18"/>
          <w:lang w:val="en-GB"/>
        </w:rPr>
        <w:t xml:space="preserve">. </w:t>
      </w:r>
      <w:r w:rsidRPr="294CE1EA" w:rsidR="294CE1EA">
        <w:rPr>
          <w:rFonts w:ascii="Calibri" w:hAnsi="Calibri" w:eastAsia="Calibri" w:cs="Calibri"/>
          <w:sz w:val="18"/>
          <w:szCs w:val="18"/>
          <w:lang w:val="en-GB"/>
        </w:rPr>
        <w:t>T</w:t>
      </w:r>
      <w:r w:rsidRPr="294CE1EA" w:rsidR="294CE1EA">
        <w:rPr>
          <w:rFonts w:ascii="Calibri" w:hAnsi="Calibri" w:eastAsia="Calibri" w:cs="Calibri"/>
          <w:sz w:val="18"/>
          <w:szCs w:val="18"/>
          <w:lang w:val="en-GB"/>
        </w:rPr>
        <w:t xml:space="preserve">he calculator also gives the option for users to include average costs for fitting non-slip flooring (£336.76) and stairlifts (£3,475.00) if required. </w:t>
      </w:r>
    </w:p>
    <w:p w:rsidR="763EC571" w:rsidP="1EF5166C" w:rsidRDefault="1EF5166C" w14:paraId="37678EE5" w14:textId="72E13B31">
      <w:pPr>
        <w:pStyle w:val="ListParagraph"/>
        <w:numPr>
          <w:ilvl w:val="0"/>
          <w:numId w:val="7"/>
        </w:numPr>
        <w:rPr>
          <w:sz w:val="18"/>
          <w:szCs w:val="18"/>
        </w:rPr>
      </w:pPr>
      <w:r w:rsidRPr="1EF5166C">
        <w:rPr>
          <w:rFonts w:ascii="Calibri" w:hAnsi="Calibri" w:eastAsia="Calibri" w:cs="Calibri"/>
          <w:sz w:val="18"/>
          <w:szCs w:val="18"/>
        </w:rPr>
        <w:t>Actual residential care home costs depend on the specific care home chosen, the type of care required, the specific care home’s annual fee increase and how long care is required for.</w:t>
      </w:r>
    </w:p>
    <w:p w:rsidR="72F5C400" w:rsidP="1EF5166C" w:rsidRDefault="1EF5166C" w14:paraId="1AB5B215" w14:textId="4BD13EF5">
      <w:pPr>
        <w:pStyle w:val="ListParagraph"/>
        <w:numPr>
          <w:ilvl w:val="0"/>
          <w:numId w:val="7"/>
        </w:numPr>
        <w:rPr>
          <w:sz w:val="18"/>
          <w:szCs w:val="18"/>
          <w:lang w:val="en-GB"/>
        </w:rPr>
      </w:pPr>
      <w:r w:rsidRPr="1EF5166C">
        <w:rPr>
          <w:rFonts w:ascii="Calibri" w:hAnsi="Calibri" w:eastAsia="Calibri" w:cs="Calibri"/>
          <w:sz w:val="18"/>
          <w:szCs w:val="18"/>
        </w:rPr>
        <w:t xml:space="preserve">The calculator includes full-time and part-time nursing care options for both at-home and residential care home living. </w:t>
      </w:r>
      <w:r w:rsidRPr="1EF5166C">
        <w:rPr>
          <w:rFonts w:ascii="Calibri" w:hAnsi="Calibri" w:eastAsia="Calibri" w:cs="Calibri"/>
          <w:sz w:val="18"/>
          <w:szCs w:val="18"/>
          <w:lang w:val="en-GB"/>
        </w:rPr>
        <w:t>The five-year figure for both options includes a 3% annual fee rise to account for inflation.</w:t>
      </w:r>
    </w:p>
    <w:p w:rsidR="682E691C" w:rsidP="1EF5166C" w:rsidRDefault="1EF5166C" w14:paraId="29B5603C" w14:textId="28F6B604">
      <w:pPr>
        <w:pStyle w:val="ListParagraph"/>
        <w:numPr>
          <w:ilvl w:val="0"/>
          <w:numId w:val="7"/>
        </w:numPr>
        <w:rPr>
          <w:sz w:val="18"/>
          <w:szCs w:val="18"/>
        </w:rPr>
      </w:pPr>
      <w:r w:rsidRPr="1EF5166C">
        <w:rPr>
          <w:rFonts w:ascii="Calibri" w:hAnsi="Calibri" w:eastAsia="Calibri" w:cs="Calibri"/>
          <w:sz w:val="18"/>
          <w:szCs w:val="18"/>
        </w:rPr>
        <w:t xml:space="preserve">Calculator results are indicative and for guidance only. </w:t>
      </w:r>
    </w:p>
    <w:p w:rsidR="763EC571" w:rsidP="763EC571" w:rsidRDefault="763EC571" w14:paraId="371A788E" w14:textId="6F1AF2F8">
      <w:pPr>
        <w:jc w:val="both"/>
        <w:rPr>
          <w:rFonts w:ascii="Calibri Light" w:hAnsi="Calibri Light" w:eastAsia="Calibri Light" w:cs="Calibri Light"/>
          <w:sz w:val="20"/>
          <w:szCs w:val="20"/>
        </w:rPr>
      </w:pPr>
      <w:r w:rsidRPr="763EC571">
        <w:rPr>
          <w:rFonts w:ascii="Calibri Light" w:hAnsi="Calibri Light" w:eastAsia="Calibri Light" w:cs="Calibri Light"/>
          <w:b/>
          <w:bCs/>
          <w:sz w:val="20"/>
          <w:szCs w:val="20"/>
          <w:lang w:val="en-GB"/>
        </w:rPr>
        <w:t>Contact:</w:t>
      </w:r>
      <w:r w:rsidRPr="763EC571">
        <w:rPr>
          <w:rFonts w:ascii="Calibri Light" w:hAnsi="Calibri Light" w:eastAsia="Calibri Light" w:cs="Calibri Light"/>
          <w:sz w:val="20"/>
          <w:szCs w:val="20"/>
          <w:lang w:val="en-GB"/>
        </w:rPr>
        <w:t xml:space="preserve">  </w:t>
      </w:r>
    </w:p>
    <w:p w:rsidR="763EC571" w:rsidP="72F5C400" w:rsidRDefault="72F5C400" w14:paraId="18A3E8A7" w14:textId="1258FBA1">
      <w:pPr>
        <w:jc w:val="both"/>
        <w:rPr>
          <w:rFonts w:ascii="Calibri Light" w:hAnsi="Calibri Light" w:eastAsia="Calibri Light" w:cs="Calibri Light"/>
          <w:sz w:val="20"/>
          <w:szCs w:val="20"/>
        </w:rPr>
      </w:pPr>
      <w:r w:rsidRPr="72F5C400">
        <w:rPr>
          <w:rFonts w:ascii="Calibri Light" w:hAnsi="Calibri Light" w:eastAsia="Calibri Light" w:cs="Calibri Light"/>
          <w:sz w:val="20"/>
          <w:szCs w:val="20"/>
          <w:lang w:val="en-GB"/>
        </w:rPr>
        <w:t xml:space="preserve">For further information, please contact Olivia Martin on </w:t>
      </w:r>
      <w:hyperlink r:id="rId20">
        <w:r w:rsidRPr="72F5C400">
          <w:rPr>
            <w:rStyle w:val="Hyperlink"/>
            <w:rFonts w:ascii="Calibri Light" w:hAnsi="Calibri Light" w:eastAsia="Calibri Light" w:cs="Calibri Light"/>
            <w:sz w:val="20"/>
            <w:szCs w:val="20"/>
            <w:lang w:val="en-GB"/>
          </w:rPr>
          <w:t>Olivia.Martin@iprospect.com</w:t>
        </w:r>
      </w:hyperlink>
      <w:r w:rsidRPr="72F5C400">
        <w:rPr>
          <w:rFonts w:ascii="Calibri Light" w:hAnsi="Calibri Light" w:eastAsia="Calibri Light" w:cs="Calibri Light"/>
          <w:sz w:val="20"/>
          <w:szCs w:val="20"/>
          <w:lang w:val="en-GB"/>
        </w:rPr>
        <w:t xml:space="preserve"> </w:t>
      </w:r>
    </w:p>
    <w:p w:rsidR="763EC571" w:rsidP="763EC571" w:rsidRDefault="763EC571" w14:paraId="2C45368C" w14:textId="681C2700">
      <w:pPr>
        <w:jc w:val="both"/>
        <w:rPr>
          <w:rFonts w:ascii="Calibri Light" w:hAnsi="Calibri Light" w:eastAsia="Calibri Light" w:cs="Calibri Light"/>
          <w:sz w:val="20"/>
          <w:szCs w:val="20"/>
        </w:rPr>
      </w:pPr>
      <w:r w:rsidRPr="763EC571">
        <w:rPr>
          <w:rFonts w:ascii="Calibri Light" w:hAnsi="Calibri Light" w:eastAsia="Calibri Light" w:cs="Calibri Light"/>
          <w:b/>
          <w:bCs/>
          <w:sz w:val="20"/>
          <w:szCs w:val="20"/>
          <w:lang w:val="en-GB"/>
        </w:rPr>
        <w:t>About Mira Showers:</w:t>
      </w:r>
    </w:p>
    <w:p w:rsidR="763EC571" w:rsidP="72F5C400" w:rsidRDefault="72F5C400" w14:paraId="17AD2342" w14:textId="3F9DC0EF">
      <w:pPr>
        <w:jc w:val="both"/>
        <w:rPr>
          <w:rFonts w:ascii="Calibri Light" w:hAnsi="Calibri Light" w:eastAsia="Calibri Light" w:cs="Calibri Light"/>
          <w:sz w:val="20"/>
          <w:szCs w:val="20"/>
        </w:rPr>
      </w:pPr>
      <w:r w:rsidRPr="72F5C400">
        <w:rPr>
          <w:rFonts w:ascii="Calibri Light" w:hAnsi="Calibri Light" w:eastAsia="Calibri Light" w:cs="Calibri Light"/>
          <w:sz w:val="20"/>
          <w:szCs w:val="20"/>
          <w:lang w:val="en-GB"/>
        </w:rPr>
        <w:t xml:space="preserve">Founded in 1921, Mira Showers is the UK’s leading manufacturer of mixer, electric, power and digital showers.  The entire range of showers and accessories, such as taps and shower trays, use stylish design and innovative technology to deliver a high-performance showering experience in every price range. Mira is owned by leading American bathroom manufacturer Kohler Co. Mira shower products are available in retailers nationwide, including B&amp;Q, and can be found in one in four homes in the UK. </w:t>
      </w:r>
    </w:p>
    <w:p w:rsidR="3FB33E88" w:rsidP="1EF5166C" w:rsidRDefault="1EF5166C" w14:paraId="241B34EE" w14:textId="023AD279">
      <w:pPr>
        <w:jc w:val="both"/>
        <w:rPr>
          <w:rFonts w:ascii="Calibri Light" w:hAnsi="Calibri Light" w:eastAsia="Calibri Light" w:cs="Calibri Light"/>
          <w:sz w:val="20"/>
          <w:szCs w:val="20"/>
        </w:rPr>
      </w:pPr>
      <w:r w:rsidRPr="1EF5166C">
        <w:rPr>
          <w:rFonts w:ascii="Calibri Light" w:hAnsi="Calibri Light" w:eastAsia="Calibri Light" w:cs="Calibri Light"/>
          <w:sz w:val="20"/>
          <w:szCs w:val="20"/>
          <w:lang w:val="en-GB"/>
        </w:rPr>
        <w:t>Mira Showers have now proved they are better by design by winning both an iF and Red Dot Award with the high design quality of the Mira Mode digital shower.</w:t>
      </w:r>
    </w:p>
    <w:sectPr w:rsidR="3FB33E8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D43"/>
    <w:multiLevelType w:val="hybridMultilevel"/>
    <w:tmpl w:val="34A8591E"/>
    <w:lvl w:ilvl="0" w:tplc="27E617DE">
      <w:start w:val="1"/>
      <w:numFmt w:val="bullet"/>
      <w:lvlText w:val=""/>
      <w:lvlJc w:val="left"/>
      <w:pPr>
        <w:ind w:left="720" w:hanging="360"/>
      </w:pPr>
      <w:rPr>
        <w:rFonts w:hint="default" w:ascii="Symbol" w:hAnsi="Symbol"/>
      </w:rPr>
    </w:lvl>
    <w:lvl w:ilvl="1" w:tplc="26D2AD2E">
      <w:start w:val="1"/>
      <w:numFmt w:val="bullet"/>
      <w:lvlText w:val="o"/>
      <w:lvlJc w:val="left"/>
      <w:pPr>
        <w:ind w:left="1440" w:hanging="360"/>
      </w:pPr>
      <w:rPr>
        <w:rFonts w:hint="default" w:ascii="Courier New" w:hAnsi="Courier New"/>
      </w:rPr>
    </w:lvl>
    <w:lvl w:ilvl="2" w:tplc="35EE675A">
      <w:start w:val="1"/>
      <w:numFmt w:val="bullet"/>
      <w:lvlText w:val=""/>
      <w:lvlJc w:val="left"/>
      <w:pPr>
        <w:ind w:left="2160" w:hanging="360"/>
      </w:pPr>
      <w:rPr>
        <w:rFonts w:hint="default" w:ascii="Wingdings" w:hAnsi="Wingdings"/>
      </w:rPr>
    </w:lvl>
    <w:lvl w:ilvl="3" w:tplc="531480A8">
      <w:start w:val="1"/>
      <w:numFmt w:val="bullet"/>
      <w:lvlText w:val=""/>
      <w:lvlJc w:val="left"/>
      <w:pPr>
        <w:ind w:left="2880" w:hanging="360"/>
      </w:pPr>
      <w:rPr>
        <w:rFonts w:hint="default" w:ascii="Symbol" w:hAnsi="Symbol"/>
      </w:rPr>
    </w:lvl>
    <w:lvl w:ilvl="4" w:tplc="307EC15C">
      <w:start w:val="1"/>
      <w:numFmt w:val="bullet"/>
      <w:lvlText w:val="o"/>
      <w:lvlJc w:val="left"/>
      <w:pPr>
        <w:ind w:left="3600" w:hanging="360"/>
      </w:pPr>
      <w:rPr>
        <w:rFonts w:hint="default" w:ascii="Courier New" w:hAnsi="Courier New"/>
      </w:rPr>
    </w:lvl>
    <w:lvl w:ilvl="5" w:tplc="57224CDC">
      <w:start w:val="1"/>
      <w:numFmt w:val="bullet"/>
      <w:lvlText w:val=""/>
      <w:lvlJc w:val="left"/>
      <w:pPr>
        <w:ind w:left="4320" w:hanging="360"/>
      </w:pPr>
      <w:rPr>
        <w:rFonts w:hint="default" w:ascii="Wingdings" w:hAnsi="Wingdings"/>
      </w:rPr>
    </w:lvl>
    <w:lvl w:ilvl="6" w:tplc="13A64B70">
      <w:start w:val="1"/>
      <w:numFmt w:val="bullet"/>
      <w:lvlText w:val=""/>
      <w:lvlJc w:val="left"/>
      <w:pPr>
        <w:ind w:left="5040" w:hanging="360"/>
      </w:pPr>
      <w:rPr>
        <w:rFonts w:hint="default" w:ascii="Symbol" w:hAnsi="Symbol"/>
      </w:rPr>
    </w:lvl>
    <w:lvl w:ilvl="7" w:tplc="7D4681AC">
      <w:start w:val="1"/>
      <w:numFmt w:val="bullet"/>
      <w:lvlText w:val="o"/>
      <w:lvlJc w:val="left"/>
      <w:pPr>
        <w:ind w:left="5760" w:hanging="360"/>
      </w:pPr>
      <w:rPr>
        <w:rFonts w:hint="default" w:ascii="Courier New" w:hAnsi="Courier New"/>
      </w:rPr>
    </w:lvl>
    <w:lvl w:ilvl="8" w:tplc="44F6F47E">
      <w:start w:val="1"/>
      <w:numFmt w:val="bullet"/>
      <w:lvlText w:val=""/>
      <w:lvlJc w:val="left"/>
      <w:pPr>
        <w:ind w:left="6480" w:hanging="360"/>
      </w:pPr>
      <w:rPr>
        <w:rFonts w:hint="default" w:ascii="Wingdings" w:hAnsi="Wingdings"/>
      </w:rPr>
    </w:lvl>
  </w:abstractNum>
  <w:abstractNum w:abstractNumId="1" w15:restartNumberingAfterBreak="0">
    <w:nsid w:val="08805A5E"/>
    <w:multiLevelType w:val="hybridMultilevel"/>
    <w:tmpl w:val="456CBF9E"/>
    <w:lvl w:ilvl="0" w:tplc="A6E2D402">
      <w:start w:val="1"/>
      <w:numFmt w:val="bullet"/>
      <w:lvlText w:val=""/>
      <w:lvlJc w:val="left"/>
      <w:pPr>
        <w:ind w:left="720" w:hanging="360"/>
      </w:pPr>
      <w:rPr>
        <w:rFonts w:hint="default" w:ascii="Symbol" w:hAnsi="Symbol"/>
      </w:rPr>
    </w:lvl>
    <w:lvl w:ilvl="1" w:tplc="F5F2D456">
      <w:start w:val="1"/>
      <w:numFmt w:val="bullet"/>
      <w:lvlText w:val="o"/>
      <w:lvlJc w:val="left"/>
      <w:pPr>
        <w:ind w:left="1440" w:hanging="360"/>
      </w:pPr>
      <w:rPr>
        <w:rFonts w:hint="default" w:ascii="Courier New" w:hAnsi="Courier New"/>
      </w:rPr>
    </w:lvl>
    <w:lvl w:ilvl="2" w:tplc="921CC354">
      <w:start w:val="1"/>
      <w:numFmt w:val="bullet"/>
      <w:lvlText w:val=""/>
      <w:lvlJc w:val="left"/>
      <w:pPr>
        <w:ind w:left="2160" w:hanging="360"/>
      </w:pPr>
      <w:rPr>
        <w:rFonts w:hint="default" w:ascii="Wingdings" w:hAnsi="Wingdings"/>
      </w:rPr>
    </w:lvl>
    <w:lvl w:ilvl="3" w:tplc="1B8E8D00">
      <w:start w:val="1"/>
      <w:numFmt w:val="bullet"/>
      <w:lvlText w:val=""/>
      <w:lvlJc w:val="left"/>
      <w:pPr>
        <w:ind w:left="2880" w:hanging="360"/>
      </w:pPr>
      <w:rPr>
        <w:rFonts w:hint="default" w:ascii="Symbol" w:hAnsi="Symbol"/>
      </w:rPr>
    </w:lvl>
    <w:lvl w:ilvl="4" w:tplc="B6E63D22">
      <w:start w:val="1"/>
      <w:numFmt w:val="bullet"/>
      <w:lvlText w:val="o"/>
      <w:lvlJc w:val="left"/>
      <w:pPr>
        <w:ind w:left="3600" w:hanging="360"/>
      </w:pPr>
      <w:rPr>
        <w:rFonts w:hint="default" w:ascii="Courier New" w:hAnsi="Courier New"/>
      </w:rPr>
    </w:lvl>
    <w:lvl w:ilvl="5" w:tplc="D0AE316E">
      <w:start w:val="1"/>
      <w:numFmt w:val="bullet"/>
      <w:lvlText w:val=""/>
      <w:lvlJc w:val="left"/>
      <w:pPr>
        <w:ind w:left="4320" w:hanging="360"/>
      </w:pPr>
      <w:rPr>
        <w:rFonts w:hint="default" w:ascii="Wingdings" w:hAnsi="Wingdings"/>
      </w:rPr>
    </w:lvl>
    <w:lvl w:ilvl="6" w:tplc="BB84437E">
      <w:start w:val="1"/>
      <w:numFmt w:val="bullet"/>
      <w:lvlText w:val=""/>
      <w:lvlJc w:val="left"/>
      <w:pPr>
        <w:ind w:left="5040" w:hanging="360"/>
      </w:pPr>
      <w:rPr>
        <w:rFonts w:hint="default" w:ascii="Symbol" w:hAnsi="Symbol"/>
      </w:rPr>
    </w:lvl>
    <w:lvl w:ilvl="7" w:tplc="8ED60C62">
      <w:start w:val="1"/>
      <w:numFmt w:val="bullet"/>
      <w:lvlText w:val="o"/>
      <w:lvlJc w:val="left"/>
      <w:pPr>
        <w:ind w:left="5760" w:hanging="360"/>
      </w:pPr>
      <w:rPr>
        <w:rFonts w:hint="default" w:ascii="Courier New" w:hAnsi="Courier New"/>
      </w:rPr>
    </w:lvl>
    <w:lvl w:ilvl="8" w:tplc="7CB25AAC">
      <w:start w:val="1"/>
      <w:numFmt w:val="bullet"/>
      <w:lvlText w:val=""/>
      <w:lvlJc w:val="left"/>
      <w:pPr>
        <w:ind w:left="6480" w:hanging="360"/>
      </w:pPr>
      <w:rPr>
        <w:rFonts w:hint="default" w:ascii="Wingdings" w:hAnsi="Wingdings"/>
      </w:rPr>
    </w:lvl>
  </w:abstractNum>
  <w:abstractNum w:abstractNumId="2" w15:restartNumberingAfterBreak="0">
    <w:nsid w:val="0F3A5122"/>
    <w:multiLevelType w:val="hybridMultilevel"/>
    <w:tmpl w:val="A6DA7C3A"/>
    <w:lvl w:ilvl="0" w:tplc="310A9D36">
      <w:start w:val="1"/>
      <w:numFmt w:val="bullet"/>
      <w:lvlText w:val=""/>
      <w:lvlJc w:val="left"/>
      <w:pPr>
        <w:ind w:left="720" w:hanging="360"/>
      </w:pPr>
      <w:rPr>
        <w:rFonts w:hint="default" w:ascii="Symbol" w:hAnsi="Symbol"/>
      </w:rPr>
    </w:lvl>
    <w:lvl w:ilvl="1" w:tplc="C8A876A8">
      <w:start w:val="1"/>
      <w:numFmt w:val="bullet"/>
      <w:lvlText w:val="o"/>
      <w:lvlJc w:val="left"/>
      <w:pPr>
        <w:ind w:left="1440" w:hanging="360"/>
      </w:pPr>
      <w:rPr>
        <w:rFonts w:hint="default" w:ascii="Courier New" w:hAnsi="Courier New"/>
      </w:rPr>
    </w:lvl>
    <w:lvl w:ilvl="2" w:tplc="7340E9A4">
      <w:start w:val="1"/>
      <w:numFmt w:val="bullet"/>
      <w:lvlText w:val=""/>
      <w:lvlJc w:val="left"/>
      <w:pPr>
        <w:ind w:left="2160" w:hanging="360"/>
      </w:pPr>
      <w:rPr>
        <w:rFonts w:hint="default" w:ascii="Wingdings" w:hAnsi="Wingdings"/>
      </w:rPr>
    </w:lvl>
    <w:lvl w:ilvl="3" w:tplc="E64A4C9E">
      <w:start w:val="1"/>
      <w:numFmt w:val="bullet"/>
      <w:lvlText w:val=""/>
      <w:lvlJc w:val="left"/>
      <w:pPr>
        <w:ind w:left="2880" w:hanging="360"/>
      </w:pPr>
      <w:rPr>
        <w:rFonts w:hint="default" w:ascii="Symbol" w:hAnsi="Symbol"/>
      </w:rPr>
    </w:lvl>
    <w:lvl w:ilvl="4" w:tplc="C7DCE326">
      <w:start w:val="1"/>
      <w:numFmt w:val="bullet"/>
      <w:lvlText w:val="o"/>
      <w:lvlJc w:val="left"/>
      <w:pPr>
        <w:ind w:left="3600" w:hanging="360"/>
      </w:pPr>
      <w:rPr>
        <w:rFonts w:hint="default" w:ascii="Courier New" w:hAnsi="Courier New"/>
      </w:rPr>
    </w:lvl>
    <w:lvl w:ilvl="5" w:tplc="D6562E18">
      <w:start w:val="1"/>
      <w:numFmt w:val="bullet"/>
      <w:lvlText w:val=""/>
      <w:lvlJc w:val="left"/>
      <w:pPr>
        <w:ind w:left="4320" w:hanging="360"/>
      </w:pPr>
      <w:rPr>
        <w:rFonts w:hint="default" w:ascii="Wingdings" w:hAnsi="Wingdings"/>
      </w:rPr>
    </w:lvl>
    <w:lvl w:ilvl="6" w:tplc="B47A22CA">
      <w:start w:val="1"/>
      <w:numFmt w:val="bullet"/>
      <w:lvlText w:val=""/>
      <w:lvlJc w:val="left"/>
      <w:pPr>
        <w:ind w:left="5040" w:hanging="360"/>
      </w:pPr>
      <w:rPr>
        <w:rFonts w:hint="default" w:ascii="Symbol" w:hAnsi="Symbol"/>
      </w:rPr>
    </w:lvl>
    <w:lvl w:ilvl="7" w:tplc="16309042">
      <w:start w:val="1"/>
      <w:numFmt w:val="bullet"/>
      <w:lvlText w:val="o"/>
      <w:lvlJc w:val="left"/>
      <w:pPr>
        <w:ind w:left="5760" w:hanging="360"/>
      </w:pPr>
      <w:rPr>
        <w:rFonts w:hint="default" w:ascii="Courier New" w:hAnsi="Courier New"/>
      </w:rPr>
    </w:lvl>
    <w:lvl w:ilvl="8" w:tplc="B39E2B06">
      <w:start w:val="1"/>
      <w:numFmt w:val="bullet"/>
      <w:lvlText w:val=""/>
      <w:lvlJc w:val="left"/>
      <w:pPr>
        <w:ind w:left="6480" w:hanging="360"/>
      </w:pPr>
      <w:rPr>
        <w:rFonts w:hint="default" w:ascii="Wingdings" w:hAnsi="Wingdings"/>
      </w:rPr>
    </w:lvl>
  </w:abstractNum>
  <w:abstractNum w:abstractNumId="3" w15:restartNumberingAfterBreak="0">
    <w:nsid w:val="21D80A87"/>
    <w:multiLevelType w:val="hybridMultilevel"/>
    <w:tmpl w:val="3DB24AC4"/>
    <w:lvl w:ilvl="0" w:tplc="AE9E74F6">
      <w:start w:val="1"/>
      <w:numFmt w:val="decimal"/>
      <w:lvlText w:val="%1."/>
      <w:lvlJc w:val="left"/>
      <w:pPr>
        <w:ind w:left="720" w:hanging="360"/>
      </w:pPr>
    </w:lvl>
    <w:lvl w:ilvl="1" w:tplc="A19A139E">
      <w:start w:val="1"/>
      <w:numFmt w:val="lowerLetter"/>
      <w:lvlText w:val="%2."/>
      <w:lvlJc w:val="left"/>
      <w:pPr>
        <w:ind w:left="1440" w:hanging="360"/>
      </w:pPr>
    </w:lvl>
    <w:lvl w:ilvl="2" w:tplc="0D2A57C0">
      <w:start w:val="1"/>
      <w:numFmt w:val="lowerRoman"/>
      <w:lvlText w:val="%3."/>
      <w:lvlJc w:val="right"/>
      <w:pPr>
        <w:ind w:left="2160" w:hanging="180"/>
      </w:pPr>
    </w:lvl>
    <w:lvl w:ilvl="3" w:tplc="B6322F58">
      <w:start w:val="1"/>
      <w:numFmt w:val="decimal"/>
      <w:lvlText w:val="%4."/>
      <w:lvlJc w:val="left"/>
      <w:pPr>
        <w:ind w:left="2880" w:hanging="360"/>
      </w:pPr>
    </w:lvl>
    <w:lvl w:ilvl="4" w:tplc="C2003398">
      <w:start w:val="1"/>
      <w:numFmt w:val="lowerLetter"/>
      <w:lvlText w:val="%5."/>
      <w:lvlJc w:val="left"/>
      <w:pPr>
        <w:ind w:left="3600" w:hanging="360"/>
      </w:pPr>
    </w:lvl>
    <w:lvl w:ilvl="5" w:tplc="A036A7E2">
      <w:start w:val="1"/>
      <w:numFmt w:val="lowerRoman"/>
      <w:lvlText w:val="%6."/>
      <w:lvlJc w:val="right"/>
      <w:pPr>
        <w:ind w:left="4320" w:hanging="180"/>
      </w:pPr>
    </w:lvl>
    <w:lvl w:ilvl="6" w:tplc="1598BBCC">
      <w:start w:val="1"/>
      <w:numFmt w:val="decimal"/>
      <w:lvlText w:val="%7."/>
      <w:lvlJc w:val="left"/>
      <w:pPr>
        <w:ind w:left="5040" w:hanging="360"/>
      </w:pPr>
    </w:lvl>
    <w:lvl w:ilvl="7" w:tplc="18863BD0">
      <w:start w:val="1"/>
      <w:numFmt w:val="lowerLetter"/>
      <w:lvlText w:val="%8."/>
      <w:lvlJc w:val="left"/>
      <w:pPr>
        <w:ind w:left="5760" w:hanging="360"/>
      </w:pPr>
    </w:lvl>
    <w:lvl w:ilvl="8" w:tplc="F3BC0DC0">
      <w:start w:val="1"/>
      <w:numFmt w:val="lowerRoman"/>
      <w:lvlText w:val="%9."/>
      <w:lvlJc w:val="right"/>
      <w:pPr>
        <w:ind w:left="6480" w:hanging="180"/>
      </w:pPr>
    </w:lvl>
  </w:abstractNum>
  <w:abstractNum w:abstractNumId="4" w15:restartNumberingAfterBreak="0">
    <w:nsid w:val="2A0E1A1A"/>
    <w:multiLevelType w:val="hybridMultilevel"/>
    <w:tmpl w:val="3E4E9B9A"/>
    <w:lvl w:ilvl="0" w:tplc="DA20989C">
      <w:start w:val="1"/>
      <w:numFmt w:val="bullet"/>
      <w:lvlText w:val=""/>
      <w:lvlJc w:val="left"/>
      <w:pPr>
        <w:ind w:left="720" w:hanging="360"/>
      </w:pPr>
      <w:rPr>
        <w:rFonts w:hint="default" w:ascii="Symbol" w:hAnsi="Symbol"/>
      </w:rPr>
    </w:lvl>
    <w:lvl w:ilvl="1" w:tplc="3C46D5A0">
      <w:start w:val="1"/>
      <w:numFmt w:val="bullet"/>
      <w:lvlText w:val="o"/>
      <w:lvlJc w:val="left"/>
      <w:pPr>
        <w:ind w:left="1440" w:hanging="360"/>
      </w:pPr>
      <w:rPr>
        <w:rFonts w:hint="default" w:ascii="Courier New" w:hAnsi="Courier New"/>
      </w:rPr>
    </w:lvl>
    <w:lvl w:ilvl="2" w:tplc="FAC298CE">
      <w:start w:val="1"/>
      <w:numFmt w:val="bullet"/>
      <w:lvlText w:val=""/>
      <w:lvlJc w:val="left"/>
      <w:pPr>
        <w:ind w:left="2160" w:hanging="360"/>
      </w:pPr>
      <w:rPr>
        <w:rFonts w:hint="default" w:ascii="Wingdings" w:hAnsi="Wingdings"/>
      </w:rPr>
    </w:lvl>
    <w:lvl w:ilvl="3" w:tplc="9BDCEAD4">
      <w:start w:val="1"/>
      <w:numFmt w:val="bullet"/>
      <w:lvlText w:val=""/>
      <w:lvlJc w:val="left"/>
      <w:pPr>
        <w:ind w:left="2880" w:hanging="360"/>
      </w:pPr>
      <w:rPr>
        <w:rFonts w:hint="default" w:ascii="Symbol" w:hAnsi="Symbol"/>
      </w:rPr>
    </w:lvl>
    <w:lvl w:ilvl="4" w:tplc="546C08C4">
      <w:start w:val="1"/>
      <w:numFmt w:val="bullet"/>
      <w:lvlText w:val="o"/>
      <w:lvlJc w:val="left"/>
      <w:pPr>
        <w:ind w:left="3600" w:hanging="360"/>
      </w:pPr>
      <w:rPr>
        <w:rFonts w:hint="default" w:ascii="Courier New" w:hAnsi="Courier New"/>
      </w:rPr>
    </w:lvl>
    <w:lvl w:ilvl="5" w:tplc="AFD04504">
      <w:start w:val="1"/>
      <w:numFmt w:val="bullet"/>
      <w:lvlText w:val=""/>
      <w:lvlJc w:val="left"/>
      <w:pPr>
        <w:ind w:left="4320" w:hanging="360"/>
      </w:pPr>
      <w:rPr>
        <w:rFonts w:hint="default" w:ascii="Wingdings" w:hAnsi="Wingdings"/>
      </w:rPr>
    </w:lvl>
    <w:lvl w:ilvl="6" w:tplc="3684DABE">
      <w:start w:val="1"/>
      <w:numFmt w:val="bullet"/>
      <w:lvlText w:val=""/>
      <w:lvlJc w:val="left"/>
      <w:pPr>
        <w:ind w:left="5040" w:hanging="360"/>
      </w:pPr>
      <w:rPr>
        <w:rFonts w:hint="default" w:ascii="Symbol" w:hAnsi="Symbol"/>
      </w:rPr>
    </w:lvl>
    <w:lvl w:ilvl="7" w:tplc="63A07710">
      <w:start w:val="1"/>
      <w:numFmt w:val="bullet"/>
      <w:lvlText w:val="o"/>
      <w:lvlJc w:val="left"/>
      <w:pPr>
        <w:ind w:left="5760" w:hanging="360"/>
      </w:pPr>
      <w:rPr>
        <w:rFonts w:hint="default" w:ascii="Courier New" w:hAnsi="Courier New"/>
      </w:rPr>
    </w:lvl>
    <w:lvl w:ilvl="8" w:tplc="305E14D0">
      <w:start w:val="1"/>
      <w:numFmt w:val="bullet"/>
      <w:lvlText w:val=""/>
      <w:lvlJc w:val="left"/>
      <w:pPr>
        <w:ind w:left="6480" w:hanging="360"/>
      </w:pPr>
      <w:rPr>
        <w:rFonts w:hint="default" w:ascii="Wingdings" w:hAnsi="Wingdings"/>
      </w:rPr>
    </w:lvl>
  </w:abstractNum>
  <w:abstractNum w:abstractNumId="5" w15:restartNumberingAfterBreak="0">
    <w:nsid w:val="35C15C3D"/>
    <w:multiLevelType w:val="hybridMultilevel"/>
    <w:tmpl w:val="C5E6A576"/>
    <w:lvl w:ilvl="0" w:tplc="3B7693D2">
      <w:start w:val="1"/>
      <w:numFmt w:val="decimal"/>
      <w:lvlText w:val="%1."/>
      <w:lvlJc w:val="left"/>
      <w:pPr>
        <w:ind w:left="720" w:hanging="360"/>
      </w:pPr>
    </w:lvl>
    <w:lvl w:ilvl="1" w:tplc="5090F508">
      <w:start w:val="1"/>
      <w:numFmt w:val="lowerLetter"/>
      <w:lvlText w:val="%2."/>
      <w:lvlJc w:val="left"/>
      <w:pPr>
        <w:ind w:left="1440" w:hanging="360"/>
      </w:pPr>
    </w:lvl>
    <w:lvl w:ilvl="2" w:tplc="BC827D20">
      <w:start w:val="1"/>
      <w:numFmt w:val="lowerRoman"/>
      <w:lvlText w:val="%3."/>
      <w:lvlJc w:val="right"/>
      <w:pPr>
        <w:ind w:left="2160" w:hanging="180"/>
      </w:pPr>
    </w:lvl>
    <w:lvl w:ilvl="3" w:tplc="A28C8000">
      <w:start w:val="1"/>
      <w:numFmt w:val="decimal"/>
      <w:lvlText w:val="%4."/>
      <w:lvlJc w:val="left"/>
      <w:pPr>
        <w:ind w:left="2880" w:hanging="360"/>
      </w:pPr>
    </w:lvl>
    <w:lvl w:ilvl="4" w:tplc="1F14BAC2">
      <w:start w:val="1"/>
      <w:numFmt w:val="lowerLetter"/>
      <w:lvlText w:val="%5."/>
      <w:lvlJc w:val="left"/>
      <w:pPr>
        <w:ind w:left="3600" w:hanging="360"/>
      </w:pPr>
    </w:lvl>
    <w:lvl w:ilvl="5" w:tplc="3DF2BF58">
      <w:start w:val="1"/>
      <w:numFmt w:val="lowerRoman"/>
      <w:lvlText w:val="%6."/>
      <w:lvlJc w:val="right"/>
      <w:pPr>
        <w:ind w:left="4320" w:hanging="180"/>
      </w:pPr>
    </w:lvl>
    <w:lvl w:ilvl="6" w:tplc="22880F88">
      <w:start w:val="1"/>
      <w:numFmt w:val="decimal"/>
      <w:lvlText w:val="%7."/>
      <w:lvlJc w:val="left"/>
      <w:pPr>
        <w:ind w:left="5040" w:hanging="360"/>
      </w:pPr>
    </w:lvl>
    <w:lvl w:ilvl="7" w:tplc="2C44A446">
      <w:start w:val="1"/>
      <w:numFmt w:val="lowerLetter"/>
      <w:lvlText w:val="%8."/>
      <w:lvlJc w:val="left"/>
      <w:pPr>
        <w:ind w:left="5760" w:hanging="360"/>
      </w:pPr>
    </w:lvl>
    <w:lvl w:ilvl="8" w:tplc="803E603C">
      <w:start w:val="1"/>
      <w:numFmt w:val="lowerRoman"/>
      <w:lvlText w:val="%9."/>
      <w:lvlJc w:val="right"/>
      <w:pPr>
        <w:ind w:left="6480" w:hanging="180"/>
      </w:pPr>
    </w:lvl>
  </w:abstractNum>
  <w:abstractNum w:abstractNumId="6" w15:restartNumberingAfterBreak="0">
    <w:nsid w:val="52B23CA9"/>
    <w:multiLevelType w:val="hybridMultilevel"/>
    <w:tmpl w:val="AE28C926"/>
    <w:lvl w:ilvl="0" w:tplc="3EAE16CE">
      <w:start w:val="1"/>
      <w:numFmt w:val="bullet"/>
      <w:lvlText w:val=""/>
      <w:lvlJc w:val="left"/>
      <w:pPr>
        <w:ind w:left="720" w:hanging="360"/>
      </w:pPr>
      <w:rPr>
        <w:rFonts w:hint="default" w:ascii="Symbol" w:hAnsi="Symbol"/>
      </w:rPr>
    </w:lvl>
    <w:lvl w:ilvl="1" w:tplc="56F42B12">
      <w:start w:val="1"/>
      <w:numFmt w:val="bullet"/>
      <w:lvlText w:val="o"/>
      <w:lvlJc w:val="left"/>
      <w:pPr>
        <w:ind w:left="1440" w:hanging="360"/>
      </w:pPr>
      <w:rPr>
        <w:rFonts w:hint="default" w:ascii="Courier New" w:hAnsi="Courier New"/>
      </w:rPr>
    </w:lvl>
    <w:lvl w:ilvl="2" w:tplc="C9A42686">
      <w:start w:val="1"/>
      <w:numFmt w:val="bullet"/>
      <w:lvlText w:val=""/>
      <w:lvlJc w:val="left"/>
      <w:pPr>
        <w:ind w:left="2160" w:hanging="360"/>
      </w:pPr>
      <w:rPr>
        <w:rFonts w:hint="default" w:ascii="Wingdings" w:hAnsi="Wingdings"/>
      </w:rPr>
    </w:lvl>
    <w:lvl w:ilvl="3" w:tplc="56683A9C">
      <w:start w:val="1"/>
      <w:numFmt w:val="bullet"/>
      <w:lvlText w:val=""/>
      <w:lvlJc w:val="left"/>
      <w:pPr>
        <w:ind w:left="2880" w:hanging="360"/>
      </w:pPr>
      <w:rPr>
        <w:rFonts w:hint="default" w:ascii="Symbol" w:hAnsi="Symbol"/>
      </w:rPr>
    </w:lvl>
    <w:lvl w:ilvl="4" w:tplc="F4C48F44">
      <w:start w:val="1"/>
      <w:numFmt w:val="bullet"/>
      <w:lvlText w:val="o"/>
      <w:lvlJc w:val="left"/>
      <w:pPr>
        <w:ind w:left="3600" w:hanging="360"/>
      </w:pPr>
      <w:rPr>
        <w:rFonts w:hint="default" w:ascii="Courier New" w:hAnsi="Courier New"/>
      </w:rPr>
    </w:lvl>
    <w:lvl w:ilvl="5" w:tplc="96FE198C">
      <w:start w:val="1"/>
      <w:numFmt w:val="bullet"/>
      <w:lvlText w:val=""/>
      <w:lvlJc w:val="left"/>
      <w:pPr>
        <w:ind w:left="4320" w:hanging="360"/>
      </w:pPr>
      <w:rPr>
        <w:rFonts w:hint="default" w:ascii="Wingdings" w:hAnsi="Wingdings"/>
      </w:rPr>
    </w:lvl>
    <w:lvl w:ilvl="6" w:tplc="556C7386">
      <w:start w:val="1"/>
      <w:numFmt w:val="bullet"/>
      <w:lvlText w:val=""/>
      <w:lvlJc w:val="left"/>
      <w:pPr>
        <w:ind w:left="5040" w:hanging="360"/>
      </w:pPr>
      <w:rPr>
        <w:rFonts w:hint="default" w:ascii="Symbol" w:hAnsi="Symbol"/>
      </w:rPr>
    </w:lvl>
    <w:lvl w:ilvl="7" w:tplc="664A7BF6">
      <w:start w:val="1"/>
      <w:numFmt w:val="bullet"/>
      <w:lvlText w:val="o"/>
      <w:lvlJc w:val="left"/>
      <w:pPr>
        <w:ind w:left="5760" w:hanging="360"/>
      </w:pPr>
      <w:rPr>
        <w:rFonts w:hint="default" w:ascii="Courier New" w:hAnsi="Courier New"/>
      </w:rPr>
    </w:lvl>
    <w:lvl w:ilvl="8" w:tplc="FE466A02">
      <w:start w:val="1"/>
      <w:numFmt w:val="bullet"/>
      <w:lvlText w:val=""/>
      <w:lvlJc w:val="left"/>
      <w:pPr>
        <w:ind w:left="6480" w:hanging="360"/>
      </w:pPr>
      <w:rPr>
        <w:rFonts w:hint="default" w:ascii="Wingdings" w:hAnsi="Wingdings"/>
      </w:rPr>
    </w:lvl>
  </w:abstractNum>
  <w:abstractNum w:abstractNumId="7" w15:restartNumberingAfterBreak="0">
    <w:nsid w:val="56A36549"/>
    <w:multiLevelType w:val="hybridMultilevel"/>
    <w:tmpl w:val="C3C4AA14"/>
    <w:lvl w:ilvl="0" w:tplc="4EE4FFBA">
      <w:start w:val="1"/>
      <w:numFmt w:val="bullet"/>
      <w:lvlText w:val=""/>
      <w:lvlJc w:val="left"/>
      <w:pPr>
        <w:ind w:left="720" w:hanging="360"/>
      </w:pPr>
      <w:rPr>
        <w:rFonts w:hint="default" w:ascii="Symbol" w:hAnsi="Symbol"/>
      </w:rPr>
    </w:lvl>
    <w:lvl w:ilvl="1" w:tplc="0748B328">
      <w:start w:val="1"/>
      <w:numFmt w:val="bullet"/>
      <w:lvlText w:val="o"/>
      <w:lvlJc w:val="left"/>
      <w:pPr>
        <w:ind w:left="1440" w:hanging="360"/>
      </w:pPr>
      <w:rPr>
        <w:rFonts w:hint="default" w:ascii="Courier New" w:hAnsi="Courier New"/>
      </w:rPr>
    </w:lvl>
    <w:lvl w:ilvl="2" w:tplc="7ED42FD4">
      <w:start w:val="1"/>
      <w:numFmt w:val="bullet"/>
      <w:lvlText w:val=""/>
      <w:lvlJc w:val="left"/>
      <w:pPr>
        <w:ind w:left="2160" w:hanging="360"/>
      </w:pPr>
      <w:rPr>
        <w:rFonts w:hint="default" w:ascii="Wingdings" w:hAnsi="Wingdings"/>
      </w:rPr>
    </w:lvl>
    <w:lvl w:ilvl="3" w:tplc="318889D4">
      <w:start w:val="1"/>
      <w:numFmt w:val="bullet"/>
      <w:lvlText w:val=""/>
      <w:lvlJc w:val="left"/>
      <w:pPr>
        <w:ind w:left="2880" w:hanging="360"/>
      </w:pPr>
      <w:rPr>
        <w:rFonts w:hint="default" w:ascii="Symbol" w:hAnsi="Symbol"/>
      </w:rPr>
    </w:lvl>
    <w:lvl w:ilvl="4" w:tplc="1D0E207E">
      <w:start w:val="1"/>
      <w:numFmt w:val="bullet"/>
      <w:lvlText w:val="o"/>
      <w:lvlJc w:val="left"/>
      <w:pPr>
        <w:ind w:left="3600" w:hanging="360"/>
      </w:pPr>
      <w:rPr>
        <w:rFonts w:hint="default" w:ascii="Courier New" w:hAnsi="Courier New"/>
      </w:rPr>
    </w:lvl>
    <w:lvl w:ilvl="5" w:tplc="EB584138">
      <w:start w:val="1"/>
      <w:numFmt w:val="bullet"/>
      <w:lvlText w:val=""/>
      <w:lvlJc w:val="left"/>
      <w:pPr>
        <w:ind w:left="4320" w:hanging="360"/>
      </w:pPr>
      <w:rPr>
        <w:rFonts w:hint="default" w:ascii="Wingdings" w:hAnsi="Wingdings"/>
      </w:rPr>
    </w:lvl>
    <w:lvl w:ilvl="6" w:tplc="77B86D7A">
      <w:start w:val="1"/>
      <w:numFmt w:val="bullet"/>
      <w:lvlText w:val=""/>
      <w:lvlJc w:val="left"/>
      <w:pPr>
        <w:ind w:left="5040" w:hanging="360"/>
      </w:pPr>
      <w:rPr>
        <w:rFonts w:hint="default" w:ascii="Symbol" w:hAnsi="Symbol"/>
      </w:rPr>
    </w:lvl>
    <w:lvl w:ilvl="7" w:tplc="623E7F1E">
      <w:start w:val="1"/>
      <w:numFmt w:val="bullet"/>
      <w:lvlText w:val="o"/>
      <w:lvlJc w:val="left"/>
      <w:pPr>
        <w:ind w:left="5760" w:hanging="360"/>
      </w:pPr>
      <w:rPr>
        <w:rFonts w:hint="default" w:ascii="Courier New" w:hAnsi="Courier New"/>
      </w:rPr>
    </w:lvl>
    <w:lvl w:ilvl="8" w:tplc="11289932">
      <w:start w:val="1"/>
      <w:numFmt w:val="bullet"/>
      <w:lvlText w:val=""/>
      <w:lvlJc w:val="left"/>
      <w:pPr>
        <w:ind w:left="6480" w:hanging="360"/>
      </w:pPr>
      <w:rPr>
        <w:rFonts w:hint="default" w:ascii="Wingdings" w:hAnsi="Wingdings"/>
      </w:rPr>
    </w:lvl>
  </w:abstractNum>
  <w:abstractNum w:abstractNumId="8" w15:restartNumberingAfterBreak="0">
    <w:nsid w:val="638811E6"/>
    <w:multiLevelType w:val="hybridMultilevel"/>
    <w:tmpl w:val="A1969004"/>
    <w:lvl w:ilvl="0" w:tplc="80EEBD40">
      <w:start w:val="1"/>
      <w:numFmt w:val="bullet"/>
      <w:lvlText w:val=""/>
      <w:lvlJc w:val="left"/>
      <w:pPr>
        <w:ind w:left="720" w:hanging="360"/>
      </w:pPr>
      <w:rPr>
        <w:rFonts w:hint="default" w:ascii="Symbol" w:hAnsi="Symbol"/>
      </w:rPr>
    </w:lvl>
    <w:lvl w:ilvl="1" w:tplc="FA760818">
      <w:start w:val="1"/>
      <w:numFmt w:val="bullet"/>
      <w:lvlText w:val="o"/>
      <w:lvlJc w:val="left"/>
      <w:pPr>
        <w:ind w:left="1440" w:hanging="360"/>
      </w:pPr>
      <w:rPr>
        <w:rFonts w:hint="default" w:ascii="Courier New" w:hAnsi="Courier New"/>
      </w:rPr>
    </w:lvl>
    <w:lvl w:ilvl="2" w:tplc="003EAEB6">
      <w:start w:val="1"/>
      <w:numFmt w:val="bullet"/>
      <w:lvlText w:val=""/>
      <w:lvlJc w:val="left"/>
      <w:pPr>
        <w:ind w:left="2160" w:hanging="360"/>
      </w:pPr>
      <w:rPr>
        <w:rFonts w:hint="default" w:ascii="Wingdings" w:hAnsi="Wingdings"/>
      </w:rPr>
    </w:lvl>
    <w:lvl w:ilvl="3" w:tplc="0C24FC70">
      <w:start w:val="1"/>
      <w:numFmt w:val="bullet"/>
      <w:lvlText w:val=""/>
      <w:lvlJc w:val="left"/>
      <w:pPr>
        <w:ind w:left="2880" w:hanging="360"/>
      </w:pPr>
      <w:rPr>
        <w:rFonts w:hint="default" w:ascii="Symbol" w:hAnsi="Symbol"/>
      </w:rPr>
    </w:lvl>
    <w:lvl w:ilvl="4" w:tplc="0520DD8A">
      <w:start w:val="1"/>
      <w:numFmt w:val="bullet"/>
      <w:lvlText w:val="o"/>
      <w:lvlJc w:val="left"/>
      <w:pPr>
        <w:ind w:left="3600" w:hanging="360"/>
      </w:pPr>
      <w:rPr>
        <w:rFonts w:hint="default" w:ascii="Courier New" w:hAnsi="Courier New"/>
      </w:rPr>
    </w:lvl>
    <w:lvl w:ilvl="5" w:tplc="7AA8E2AC">
      <w:start w:val="1"/>
      <w:numFmt w:val="bullet"/>
      <w:lvlText w:val=""/>
      <w:lvlJc w:val="left"/>
      <w:pPr>
        <w:ind w:left="4320" w:hanging="360"/>
      </w:pPr>
      <w:rPr>
        <w:rFonts w:hint="default" w:ascii="Wingdings" w:hAnsi="Wingdings"/>
      </w:rPr>
    </w:lvl>
    <w:lvl w:ilvl="6" w:tplc="71E0F97C">
      <w:start w:val="1"/>
      <w:numFmt w:val="bullet"/>
      <w:lvlText w:val=""/>
      <w:lvlJc w:val="left"/>
      <w:pPr>
        <w:ind w:left="5040" w:hanging="360"/>
      </w:pPr>
      <w:rPr>
        <w:rFonts w:hint="default" w:ascii="Symbol" w:hAnsi="Symbol"/>
      </w:rPr>
    </w:lvl>
    <w:lvl w:ilvl="7" w:tplc="D1E6244E">
      <w:start w:val="1"/>
      <w:numFmt w:val="bullet"/>
      <w:lvlText w:val="o"/>
      <w:lvlJc w:val="left"/>
      <w:pPr>
        <w:ind w:left="5760" w:hanging="360"/>
      </w:pPr>
      <w:rPr>
        <w:rFonts w:hint="default" w:ascii="Courier New" w:hAnsi="Courier New"/>
      </w:rPr>
    </w:lvl>
    <w:lvl w:ilvl="8" w:tplc="1EC00704">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 w:numId="5">
    <w:abstractNumId w:val="8"/>
  </w:num>
  <w:num w:numId="6">
    <w:abstractNumId w:val="6"/>
  </w:num>
  <w:num w:numId="7">
    <w:abstractNumId w:val="5"/>
  </w:num>
  <w:num w:numId="8">
    <w:abstractNumId w:val="4"/>
  </w:num>
  <w:num w:numId="9">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C48344"/>
    <w:rsid w:val="00CF7A8F"/>
    <w:rsid w:val="1A2365B7"/>
    <w:rsid w:val="1D863003"/>
    <w:rsid w:val="1EF5166C"/>
    <w:rsid w:val="21A18194"/>
    <w:rsid w:val="2663AB2D"/>
    <w:rsid w:val="294CE1EA"/>
    <w:rsid w:val="2D0D2E13"/>
    <w:rsid w:val="2DF72A2D"/>
    <w:rsid w:val="34C48344"/>
    <w:rsid w:val="3AB51FEB"/>
    <w:rsid w:val="3FB33E88"/>
    <w:rsid w:val="4C3FCFD6"/>
    <w:rsid w:val="54DDD14F"/>
    <w:rsid w:val="5CA87DDE"/>
    <w:rsid w:val="682E691C"/>
    <w:rsid w:val="70EA3D81"/>
    <w:rsid w:val="72F5C400"/>
    <w:rsid w:val="763EC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8344"/>
  <w15:chartTrackingRefBased/>
  <w15:docId w15:val="{DF279A54-A946-42F0-93DA-A68DBDFF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7A8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7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aingbuisson.com/shop/care-homes-older-people/" TargetMode="External" Id="rId13" /><Relationship Type="http://schemas.openxmlformats.org/officeDocument/2006/relationships/hyperlink" Target="https://www.mirashowers.co.uk/independent-living/mira-premium-shower-seat/"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mirashowers.co.uk/blog/trends/house-proud-baby-boomers-want-style-and-substance/" TargetMode="External" Id="rId12" /><Relationship Type="http://schemas.openxmlformats.org/officeDocument/2006/relationships/hyperlink" Target="https://www.mirashowers.co.uk/shower-enclosures/divider-panel/mira-leap-divider-panel-800mm/" TargetMode="External" Id="rId17" /><Relationship Type="http://schemas.openxmlformats.org/officeDocument/2006/relationships/customXml" Target="../customXml/item2.xml" Id="rId2" /><Relationship Type="http://schemas.openxmlformats.org/officeDocument/2006/relationships/hyperlink" Target="https://www.mirashowers.co.uk/shower-trays/mira-flight-safe-square-800-x-800-0-upstands" TargetMode="External" Id="rId16" /><Relationship Type="http://schemas.openxmlformats.org/officeDocument/2006/relationships/hyperlink" Target="mailto:Olivia.Martin@iprospect.com"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ns.gov.uk/peoplepopulationandcommunity/populationandmigration/populationprojections/bulletins/nationalpopulationprojections/2016basedstatisticalbulletin" TargetMode="External" Id="rId11" /><Relationship Type="http://schemas.openxmlformats.org/officeDocument/2006/relationships/styles" Target="styles.xml" Id="rId5" /><Relationship Type="http://schemas.openxmlformats.org/officeDocument/2006/relationships/hyperlink" Target="https://www.mirashowers.co.uk/showers/digital-showers/mira-vision-flex-rear-fed-high-pressure/" TargetMode="External" Id="rId15" /><Relationship Type="http://schemas.openxmlformats.org/officeDocument/2006/relationships/theme" Target="theme/theme1.xml" Id="rId23" /><Relationship Type="http://schemas.openxmlformats.org/officeDocument/2006/relationships/hyperlink" Target="https://www.mirashowers.co.uk/blog/trends/house-proud-baby-boomers-want-style-and-substance/" TargetMode="External" Id="rId10" /><Relationship Type="http://schemas.openxmlformats.org/officeDocument/2006/relationships/hyperlink" Target="https://www.mirashowers.co.uk/independent-living/mira-grab-rail-400mm/" TargetMode="External" Id="rId19"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hyperlink" Target="https://www.mirashowers.co.uk/independent-living/" TargetMode="External" Id="rId14" /><Relationship Type="http://schemas.microsoft.com/office/2011/relationships/people" Target="people.xml" Id="rId22" /><Relationship Type="http://schemas.microsoft.com/office/2016/09/relationships/commentsIds" Target="/word/commentsIds.xml" Id="Re7b4b329d7394267" /><Relationship Type="http://schemas.openxmlformats.org/officeDocument/2006/relationships/hyperlink" Target="https://www.dropbox.com/sh/931vxfm4w8b72wm/AACEm_rr6NvLhXEn1xSiQ42Aa?dl=0" TargetMode="External" Id="R736593adec464ead" /><Relationship Type="http://schemas.openxmlformats.org/officeDocument/2006/relationships/hyperlink" Target="https://www.mirashowers.co.uk/independent-living/cost-of-care-calculator/" TargetMode="External" Id="R1d2eba8535a34a28" /><Relationship Type="http://schemas.openxmlformats.org/officeDocument/2006/relationships/hyperlink" Target="https://www.mirashowers.co.uk/independent-living/cost-of-care-calculator/" TargetMode="External" Id="R29371c608fe34b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CBFBC34C6CF14DA6505077EB59A0A4" ma:contentTypeVersion="12" ma:contentTypeDescription="Create a new document." ma:contentTypeScope="" ma:versionID="7c4775d4c3d532813900dfaf70ba9a36">
  <xsd:schema xmlns:xsd="http://www.w3.org/2001/XMLSchema" xmlns:xs="http://www.w3.org/2001/XMLSchema" xmlns:p="http://schemas.microsoft.com/office/2006/metadata/properties" xmlns:ns2="b47a16b1-2459-4f22-9f48-323a7665e542" xmlns:ns3="83cafef7-f56b-42fc-9de5-7e44a2371125" targetNamespace="http://schemas.microsoft.com/office/2006/metadata/properties" ma:root="true" ma:fieldsID="9ab1a53be37c86b6c8cd00aced3aa387" ns2:_="" ns3:_="">
    <xsd:import namespace="b47a16b1-2459-4f22-9f48-323a7665e542"/>
    <xsd:import namespace="83cafef7-f56b-42fc-9de5-7e44a2371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a16b1-2459-4f22-9f48-323a7665e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afef7-f56b-42fc-9de5-7e44a23711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04988-5A91-400C-8D5A-560F1ACA00D1}">
  <ds:schemaRefs>
    <ds:schemaRef ds:uri="http://schemas.microsoft.com/sharepoint/v3/contenttype/forms"/>
  </ds:schemaRefs>
</ds:datastoreItem>
</file>

<file path=customXml/itemProps2.xml><?xml version="1.0" encoding="utf-8"?>
<ds:datastoreItem xmlns:ds="http://schemas.openxmlformats.org/officeDocument/2006/customXml" ds:itemID="{01AF53E4-3735-4837-9B57-F94999909566}"/>
</file>

<file path=customXml/itemProps3.xml><?xml version="1.0" encoding="utf-8"?>
<ds:datastoreItem xmlns:ds="http://schemas.openxmlformats.org/officeDocument/2006/customXml" ds:itemID="{10896746-5911-4656-9C82-A59F95F194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83cafef7-f56b-42fc-9de5-7e44a2371125"/>
    <ds:schemaRef ds:uri="b47a16b1-2459-4f22-9f48-323a7665e542"/>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Martin</dc:creator>
  <cp:keywords/>
  <dc:description/>
  <cp:lastModifiedBy>Olivia Martin</cp:lastModifiedBy>
  <cp:revision>8</cp:revision>
  <dcterms:created xsi:type="dcterms:W3CDTF">2019-02-25T14:53:00Z</dcterms:created>
  <dcterms:modified xsi:type="dcterms:W3CDTF">2019-04-17T16:12:46Z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445</vt:lpwstr>
  </property>
  <property fmtid="{D5CDD505-2E9C-101B-9397-08002B2CF9AE}" pid="3" name="ContentTypeId">
    <vt:lpwstr>0x010100B3CBFBC34C6CF14DA6505077EB59A0A4</vt:lpwstr>
  </property>
  <property fmtid="{D5CDD505-2E9C-101B-9397-08002B2CF9AE}" pid="4" name="AuthorIds_UIVersion_37376">
    <vt:lpwstr>445</vt:lpwstr>
  </property>
  <property fmtid="{D5CDD505-2E9C-101B-9397-08002B2CF9AE}" pid="5" name="AuthorIds_UIVersion_40960">
    <vt:lpwstr>445</vt:lpwstr>
  </property>
</Properties>
</file>