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37"/>
        <w:tblW w:w="12312" w:type="dxa"/>
        <w:tblLayout w:type="fixed"/>
        <w:tblLook w:val="00A0"/>
      </w:tblPr>
      <w:tblGrid>
        <w:gridCol w:w="3438"/>
        <w:gridCol w:w="4032"/>
        <w:gridCol w:w="1890"/>
        <w:gridCol w:w="2952"/>
      </w:tblGrid>
      <w:tr w:rsidR="00E560AF" w:rsidRPr="0070568A" w:rsidTr="00E560AF">
        <w:tc>
          <w:tcPr>
            <w:tcW w:w="3438" w:type="dxa"/>
            <w:vAlign w:val="center"/>
          </w:tcPr>
          <w:p w:rsidR="00E560AF" w:rsidRPr="0070568A" w:rsidRDefault="00E560AF" w:rsidP="00E560AF">
            <w:pPr>
              <w:ind w:left="-108"/>
              <w:jc w:val="center"/>
            </w:pPr>
            <w:r>
              <w:rPr>
                <w:rFonts w:ascii="Helvetica" w:hAnsi="Helvetica"/>
                <w:noProof/>
                <w:lang w:eastAsia="en-GB"/>
              </w:rPr>
              <w:drawing>
                <wp:inline distT="0" distB="0" distL="0" distR="0">
                  <wp:extent cx="2445385" cy="109537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45385" cy="1095375"/>
                          </a:xfrm>
                          <a:prstGeom prst="rect">
                            <a:avLst/>
                          </a:prstGeom>
                          <a:noFill/>
                          <a:ln w="9525">
                            <a:noFill/>
                            <a:miter lim="800000"/>
                            <a:headEnd/>
                            <a:tailEnd/>
                          </a:ln>
                        </pic:spPr>
                      </pic:pic>
                    </a:graphicData>
                  </a:graphic>
                </wp:inline>
              </w:drawing>
            </w:r>
          </w:p>
        </w:tc>
        <w:tc>
          <w:tcPr>
            <w:tcW w:w="4032" w:type="dxa"/>
            <w:vAlign w:val="center"/>
          </w:tcPr>
          <w:p w:rsidR="00E560AF" w:rsidRPr="0070568A" w:rsidRDefault="00E560AF" w:rsidP="00E560AF">
            <w:pPr>
              <w:jc w:val="center"/>
              <w:rPr>
                <w:rFonts w:ascii="Helvetica" w:hAnsi="Helvetica"/>
                <w:b/>
                <w:bCs/>
                <w:color w:val="31849B"/>
                <w:sz w:val="28"/>
                <w:szCs w:val="28"/>
                <w:vertAlign w:val="superscript"/>
              </w:rPr>
            </w:pPr>
            <w:r w:rsidRPr="0070568A">
              <w:rPr>
                <w:rFonts w:ascii="Helvetica" w:hAnsi="Helvetica"/>
                <w:b/>
                <w:color w:val="31849B"/>
                <w:sz w:val="28"/>
                <w:szCs w:val="28"/>
              </w:rPr>
              <w:t>DEVANX R</w:t>
            </w:r>
            <w:r>
              <w:rPr>
                <w:rFonts w:ascii="Helvetica" w:hAnsi="Helvetica"/>
                <w:b/>
                <w:color w:val="31849B"/>
                <w:sz w:val="28"/>
                <w:szCs w:val="28"/>
              </w:rPr>
              <w:t>DA</w:t>
            </w:r>
            <w:r w:rsidRPr="0070568A">
              <w:rPr>
                <w:rFonts w:ascii="Helvetica" w:hAnsi="Helvetica"/>
                <w:b/>
                <w:bCs/>
                <w:color w:val="31849B"/>
                <w:sz w:val="28"/>
                <w:szCs w:val="28"/>
                <w:vertAlign w:val="superscript"/>
              </w:rPr>
              <w:t>®</w:t>
            </w:r>
          </w:p>
          <w:p w:rsidR="00E560AF" w:rsidRPr="0070568A" w:rsidRDefault="00E560AF" w:rsidP="00E560AF">
            <w:pPr>
              <w:jc w:val="center"/>
              <w:rPr>
                <w:rFonts w:ascii="Helvetica" w:hAnsi="Helvetica"/>
                <w:b/>
                <w:bCs/>
                <w:color w:val="31849B"/>
                <w:sz w:val="28"/>
                <w:szCs w:val="28"/>
                <w:vertAlign w:val="superscript"/>
              </w:rPr>
            </w:pPr>
            <w:r w:rsidRPr="0070568A">
              <w:rPr>
                <w:rFonts w:ascii="Helvetica" w:hAnsi="Helvetica"/>
                <w:b/>
                <w:color w:val="31849B"/>
                <w:sz w:val="28"/>
                <w:szCs w:val="28"/>
              </w:rPr>
              <w:t>(RED DIAMOND</w:t>
            </w:r>
            <w:r>
              <w:rPr>
                <w:rFonts w:ascii="Helvetica" w:hAnsi="Helvetica"/>
                <w:b/>
                <w:color w:val="31849B"/>
                <w:sz w:val="28"/>
                <w:szCs w:val="28"/>
              </w:rPr>
              <w:t xml:space="preserve"> ASSET) </w:t>
            </w:r>
            <w:r>
              <w:rPr>
                <w:rFonts w:ascii="Helvetica" w:hAnsi="Helvetica"/>
                <w:b/>
                <w:color w:val="31849B"/>
                <w:sz w:val="28"/>
                <w:szCs w:val="28"/>
              </w:rPr>
              <w:br/>
              <w:t>Market Overview</w:t>
            </w:r>
          </w:p>
        </w:tc>
        <w:tc>
          <w:tcPr>
            <w:tcW w:w="1890" w:type="dxa"/>
            <w:vAlign w:val="center"/>
          </w:tcPr>
          <w:p w:rsidR="00E560AF" w:rsidRPr="0070568A" w:rsidRDefault="00E560AF" w:rsidP="00E560AF">
            <w:pPr>
              <w:ind w:left="-18" w:right="-18" w:hanging="90"/>
            </w:pPr>
            <w:r>
              <w:rPr>
                <w:rFonts w:ascii="Helvetica" w:hAnsi="Helvetica"/>
                <w:noProof/>
                <w:lang w:eastAsia="en-GB"/>
              </w:rPr>
              <w:drawing>
                <wp:inline distT="0" distB="0" distL="0" distR="0">
                  <wp:extent cx="1190625" cy="1052830"/>
                  <wp:effectExtent l="19050" t="0" r="9525"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190625" cy="1052830"/>
                          </a:xfrm>
                          <a:prstGeom prst="rect">
                            <a:avLst/>
                          </a:prstGeom>
                          <a:noFill/>
                          <a:ln w="9525">
                            <a:noFill/>
                            <a:miter lim="800000"/>
                            <a:headEnd/>
                            <a:tailEnd/>
                          </a:ln>
                        </pic:spPr>
                      </pic:pic>
                    </a:graphicData>
                  </a:graphic>
                </wp:inline>
              </w:drawing>
            </w:r>
          </w:p>
        </w:tc>
        <w:tc>
          <w:tcPr>
            <w:tcW w:w="2952" w:type="dxa"/>
          </w:tcPr>
          <w:p w:rsidR="00E560AF" w:rsidRPr="0070568A" w:rsidRDefault="00E560AF" w:rsidP="00E560AF">
            <w:pPr>
              <w:tabs>
                <w:tab w:val="left" w:pos="1872"/>
              </w:tabs>
              <w:ind w:left="-198" w:firstLine="90"/>
              <w:rPr>
                <w:rFonts w:ascii="Helvetica" w:hAnsi="Helvetica"/>
                <w:noProof/>
              </w:rPr>
            </w:pPr>
            <w:r>
              <w:rPr>
                <w:rFonts w:ascii="Helvetica" w:hAnsi="Helvetica"/>
                <w:noProof/>
                <w:lang w:eastAsia="en-GB"/>
              </w:rPr>
              <w:drawing>
                <wp:inline distT="0" distB="0" distL="0" distR="0">
                  <wp:extent cx="1190625" cy="1127125"/>
                  <wp:effectExtent l="1905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90625" cy="1127125"/>
                          </a:xfrm>
                          <a:prstGeom prst="rect">
                            <a:avLst/>
                          </a:prstGeom>
                          <a:noFill/>
                          <a:ln w="9525">
                            <a:noFill/>
                            <a:miter lim="800000"/>
                            <a:headEnd/>
                            <a:tailEnd/>
                          </a:ln>
                        </pic:spPr>
                      </pic:pic>
                    </a:graphicData>
                  </a:graphic>
                </wp:inline>
              </w:drawing>
            </w:r>
          </w:p>
        </w:tc>
      </w:tr>
    </w:tbl>
    <w:p w:rsidR="006631F1" w:rsidRPr="00E560AF" w:rsidRDefault="002C6066">
      <w:pPr>
        <w:rPr>
          <w:i/>
          <w:sz w:val="24"/>
          <w:szCs w:val="24"/>
        </w:rPr>
      </w:pPr>
      <w:r w:rsidRPr="00E560AF">
        <w:rPr>
          <w:i/>
          <w:sz w:val="24"/>
          <w:szCs w:val="24"/>
        </w:rPr>
        <w:t>Supply of diamonds will most likely be constricte</w:t>
      </w:r>
      <w:r w:rsidR="00E443CE" w:rsidRPr="00E560AF">
        <w:rPr>
          <w:i/>
          <w:sz w:val="24"/>
          <w:szCs w:val="24"/>
        </w:rPr>
        <w:t>d over the next decade, as key</w:t>
      </w:r>
      <w:r w:rsidRPr="00E560AF">
        <w:rPr>
          <w:i/>
          <w:sz w:val="24"/>
          <w:szCs w:val="24"/>
        </w:rPr>
        <w:t xml:space="preserve"> mines in Australia an</w:t>
      </w:r>
      <w:r w:rsidR="00E443CE" w:rsidRPr="00E560AF">
        <w:rPr>
          <w:i/>
          <w:sz w:val="24"/>
          <w:szCs w:val="24"/>
        </w:rPr>
        <w:t xml:space="preserve">d Canada are milked dry and major mining companies reduce their </w:t>
      </w:r>
      <w:r w:rsidRPr="00E560AF">
        <w:rPr>
          <w:i/>
          <w:sz w:val="24"/>
          <w:szCs w:val="24"/>
        </w:rPr>
        <w:t xml:space="preserve">foothold in the industry. </w:t>
      </w:r>
      <w:r w:rsidR="006631F1" w:rsidRPr="00E560AF">
        <w:rPr>
          <w:i/>
          <w:sz w:val="24"/>
          <w:szCs w:val="24"/>
        </w:rPr>
        <w:t xml:space="preserve">African mines are </w:t>
      </w:r>
      <w:r w:rsidR="00E443CE" w:rsidRPr="00E560AF">
        <w:rPr>
          <w:i/>
          <w:sz w:val="24"/>
          <w:szCs w:val="24"/>
        </w:rPr>
        <w:t xml:space="preserve">weighed down </w:t>
      </w:r>
      <w:r w:rsidR="006631F1" w:rsidRPr="00E560AF">
        <w:rPr>
          <w:i/>
          <w:sz w:val="24"/>
          <w:szCs w:val="24"/>
        </w:rPr>
        <w:t xml:space="preserve">politically, with talks over the Kimberly Process </w:t>
      </w:r>
      <w:r w:rsidR="00E443CE" w:rsidRPr="00E560AF">
        <w:rPr>
          <w:i/>
          <w:sz w:val="24"/>
          <w:szCs w:val="24"/>
        </w:rPr>
        <w:t xml:space="preserve">(KP) </w:t>
      </w:r>
      <w:r w:rsidR="006631F1" w:rsidRPr="00E560AF">
        <w:rPr>
          <w:i/>
          <w:sz w:val="24"/>
          <w:szCs w:val="24"/>
        </w:rPr>
        <w:t>for verifying conflict-free diamonds facing charges of hypocrisy, by the KP organisers’ refusal to boycott Zimbabwe as a supplier.</w:t>
      </w:r>
    </w:p>
    <w:p w:rsidR="00F82FA4" w:rsidRPr="00E560AF" w:rsidRDefault="002C6066">
      <w:pPr>
        <w:rPr>
          <w:i/>
          <w:sz w:val="24"/>
          <w:szCs w:val="24"/>
        </w:rPr>
      </w:pPr>
      <w:r w:rsidRPr="00E560AF">
        <w:rPr>
          <w:i/>
          <w:sz w:val="24"/>
          <w:szCs w:val="24"/>
        </w:rPr>
        <w:t xml:space="preserve">At the same time, there is a diversity of new, rival market players which means rough </w:t>
      </w:r>
      <w:r w:rsidR="006631F1" w:rsidRPr="00E560AF">
        <w:rPr>
          <w:i/>
          <w:sz w:val="24"/>
          <w:szCs w:val="24"/>
        </w:rPr>
        <w:t xml:space="preserve">and polished </w:t>
      </w:r>
      <w:r w:rsidRPr="00E560AF">
        <w:rPr>
          <w:i/>
          <w:sz w:val="24"/>
          <w:szCs w:val="24"/>
        </w:rPr>
        <w:t>stones will stream in an unregulated fashion into growth regions like China and, to a certain extent, India. If there is a fortune to be made in diamonds today, it is in rare coloured stones, the investment-grade fancy vivid v</w:t>
      </w:r>
      <w:r w:rsidR="00E83D0B" w:rsidRPr="00E560AF">
        <w:rPr>
          <w:i/>
          <w:sz w:val="24"/>
          <w:szCs w:val="24"/>
        </w:rPr>
        <w:t xml:space="preserve">arieties </w:t>
      </w:r>
      <w:r w:rsidRPr="00E560AF">
        <w:rPr>
          <w:i/>
          <w:sz w:val="24"/>
          <w:szCs w:val="24"/>
        </w:rPr>
        <w:t>so desirable they are rarely seen or traded outside private circles.</w:t>
      </w:r>
    </w:p>
    <w:p w:rsidR="002C6066" w:rsidRPr="007B09A0" w:rsidRDefault="002C6066" w:rsidP="002C6066">
      <w:pPr>
        <w:spacing w:after="0" w:line="240" w:lineRule="auto"/>
        <w:rPr>
          <w:rFonts w:eastAsia="Times New Roman" w:cs="Arial"/>
          <w:color w:val="000000"/>
          <w:lang w:eastAsia="en-GB"/>
        </w:rPr>
      </w:pPr>
      <w:r w:rsidRPr="002C6066">
        <w:rPr>
          <w:rFonts w:eastAsia="Times New Roman" w:cs="Arial"/>
          <w:color w:val="000000"/>
          <w:lang w:eastAsia="en-GB"/>
        </w:rPr>
        <w:t xml:space="preserve">A recent report, ‘Diamond Price Outlook, released by Citigroup Global Markets, described the major decline in the rate at which </w:t>
      </w:r>
      <w:proofErr w:type="spellStart"/>
      <w:r w:rsidRPr="002C6066">
        <w:rPr>
          <w:rFonts w:eastAsia="Times New Roman" w:cs="Arial"/>
          <w:color w:val="000000"/>
          <w:lang w:eastAsia="en-GB"/>
        </w:rPr>
        <w:t>kimberlites</w:t>
      </w:r>
      <w:proofErr w:type="spellEnd"/>
      <w:r w:rsidRPr="002C6066">
        <w:rPr>
          <w:rFonts w:eastAsia="Times New Roman" w:cs="Arial"/>
          <w:color w:val="000000"/>
          <w:lang w:eastAsia="en-GB"/>
        </w:rPr>
        <w:t xml:space="preserve"> (the host rock for most diamonds) are being discovered, as long-term acting to constrict supply of rough uncut diamonds. Citigroup’s report, released to investors and broken by Forbes the week of 24/10/13, stated that while initially diamond prices might dip slightly, or “stabilize”, 2013-14, “the mine supply trend, the structural shift in China, and a slowly recovering global economy should see diamond shortages making their mark on prices in 2015-to-2020.”</w:t>
      </w:r>
    </w:p>
    <w:p w:rsidR="00E83D0B" w:rsidRPr="007B09A0" w:rsidRDefault="00E83D0B" w:rsidP="002C6066">
      <w:pPr>
        <w:spacing w:after="0" w:line="240" w:lineRule="auto"/>
        <w:rPr>
          <w:rFonts w:eastAsia="Times New Roman" w:cs="Arial"/>
          <w:color w:val="000000"/>
          <w:lang w:eastAsia="en-GB"/>
        </w:rPr>
      </w:pPr>
    </w:p>
    <w:p w:rsidR="00D116D7" w:rsidRPr="007B09A0" w:rsidRDefault="00E83D0B" w:rsidP="002C6066">
      <w:pPr>
        <w:spacing w:after="0" w:line="240" w:lineRule="auto"/>
        <w:rPr>
          <w:rFonts w:eastAsia="Times New Roman" w:cs="Arial"/>
          <w:color w:val="000000"/>
          <w:lang w:eastAsia="en-GB"/>
        </w:rPr>
      </w:pPr>
      <w:r w:rsidRPr="007B09A0">
        <w:rPr>
          <w:rFonts w:eastAsia="Times New Roman" w:cs="Arial"/>
          <w:color w:val="000000"/>
          <w:lang w:eastAsia="en-GB"/>
        </w:rPr>
        <w:t xml:space="preserve">BHP Billiton has made its exit from its lucrative </w:t>
      </w:r>
      <w:proofErr w:type="spellStart"/>
      <w:r w:rsidRPr="007B09A0">
        <w:rPr>
          <w:rFonts w:eastAsia="Times New Roman" w:cs="Arial"/>
          <w:color w:val="000000"/>
          <w:lang w:eastAsia="en-GB"/>
        </w:rPr>
        <w:t>Ekati</w:t>
      </w:r>
      <w:proofErr w:type="spellEnd"/>
      <w:r w:rsidRPr="007B09A0">
        <w:rPr>
          <w:rFonts w:eastAsia="Times New Roman" w:cs="Arial"/>
          <w:color w:val="000000"/>
          <w:lang w:eastAsia="en-GB"/>
        </w:rPr>
        <w:t xml:space="preserve"> mine in Canada, pre-empting the mine’s decline in profitability. It agreed to sell the </w:t>
      </w:r>
      <w:proofErr w:type="spellStart"/>
      <w:r w:rsidRPr="007B09A0">
        <w:rPr>
          <w:rFonts w:eastAsia="Times New Roman" w:cs="Arial"/>
          <w:color w:val="000000"/>
          <w:lang w:eastAsia="en-GB"/>
        </w:rPr>
        <w:t>Ekati</w:t>
      </w:r>
      <w:proofErr w:type="spellEnd"/>
      <w:r w:rsidRPr="007B09A0">
        <w:rPr>
          <w:rFonts w:eastAsia="Times New Roman" w:cs="Arial"/>
          <w:color w:val="000000"/>
          <w:lang w:eastAsia="en-GB"/>
        </w:rPr>
        <w:t xml:space="preserve"> mine to Harry Winston Diamond Mines Ltd for </w:t>
      </w:r>
      <w:r w:rsidR="00A744E6" w:rsidRPr="007B09A0">
        <w:rPr>
          <w:rFonts w:eastAsia="Times New Roman" w:cs="Arial"/>
          <w:color w:val="000000"/>
          <w:lang w:eastAsia="en-GB"/>
        </w:rPr>
        <w:t>US</w:t>
      </w:r>
      <w:r w:rsidRPr="007B09A0">
        <w:rPr>
          <w:rFonts w:eastAsia="Times New Roman" w:cs="Arial"/>
          <w:color w:val="000000"/>
          <w:lang w:eastAsia="en-GB"/>
        </w:rPr>
        <w:t xml:space="preserve">$500million in November 2012. </w:t>
      </w:r>
      <w:r w:rsidR="00D116D7" w:rsidRPr="007B09A0">
        <w:rPr>
          <w:rFonts w:eastAsia="Times New Roman" w:cs="Arial"/>
          <w:color w:val="000000"/>
          <w:lang w:eastAsia="en-GB"/>
        </w:rPr>
        <w:t xml:space="preserve">Late in 2011, BHP Billiton’s 51% stake in the </w:t>
      </w:r>
      <w:proofErr w:type="spellStart"/>
      <w:r w:rsidR="00D116D7" w:rsidRPr="007B09A0">
        <w:rPr>
          <w:rFonts w:eastAsia="Times New Roman" w:cs="Arial"/>
          <w:color w:val="000000"/>
          <w:lang w:eastAsia="en-GB"/>
        </w:rPr>
        <w:t>Chidliak</w:t>
      </w:r>
      <w:proofErr w:type="spellEnd"/>
      <w:r w:rsidR="00D116D7" w:rsidRPr="007B09A0">
        <w:rPr>
          <w:rFonts w:eastAsia="Times New Roman" w:cs="Arial"/>
          <w:color w:val="000000"/>
          <w:lang w:eastAsia="en-GB"/>
        </w:rPr>
        <w:t xml:space="preserve"> diamond project, South Baffin Island, Nunavut, to young Canadian mining firm Peregrine Diamonds. </w:t>
      </w:r>
    </w:p>
    <w:p w:rsidR="00E560AF" w:rsidRDefault="00E560AF" w:rsidP="002C6066">
      <w:pPr>
        <w:spacing w:after="0" w:line="240" w:lineRule="auto"/>
        <w:rPr>
          <w:rFonts w:eastAsia="Times New Roman" w:cs="Arial"/>
          <w:color w:val="000000"/>
          <w:lang w:eastAsia="en-GB"/>
        </w:rPr>
      </w:pPr>
    </w:p>
    <w:p w:rsidR="00E83D0B" w:rsidRPr="007B09A0" w:rsidRDefault="00D116D7" w:rsidP="002C6066">
      <w:pPr>
        <w:spacing w:after="0" w:line="240" w:lineRule="auto"/>
        <w:rPr>
          <w:rFonts w:eastAsia="Times New Roman" w:cs="Arial"/>
          <w:color w:val="000000"/>
          <w:lang w:eastAsia="en-GB"/>
        </w:rPr>
      </w:pPr>
      <w:r w:rsidRPr="007B09A0">
        <w:rPr>
          <w:rFonts w:eastAsia="Times New Roman" w:cs="Arial"/>
          <w:color w:val="000000"/>
          <w:lang w:eastAsia="en-GB"/>
        </w:rPr>
        <w:t xml:space="preserve">The reduced prospects of the </w:t>
      </w:r>
      <w:proofErr w:type="spellStart"/>
      <w:r w:rsidRPr="007B09A0">
        <w:rPr>
          <w:rFonts w:eastAsia="Times New Roman" w:cs="Arial"/>
          <w:color w:val="000000"/>
          <w:lang w:eastAsia="en-GB"/>
        </w:rPr>
        <w:t>Chidliak</w:t>
      </w:r>
      <w:proofErr w:type="spellEnd"/>
      <w:r w:rsidRPr="007B09A0">
        <w:rPr>
          <w:rFonts w:eastAsia="Times New Roman" w:cs="Arial"/>
          <w:color w:val="000000"/>
          <w:lang w:eastAsia="en-GB"/>
        </w:rPr>
        <w:t xml:space="preserve"> project are indicated by De Beers’ decision not to exercise an option which would have entered it into joint venture with Peregrine Diamonds. </w:t>
      </w:r>
      <w:proofErr w:type="gramStart"/>
      <w:r w:rsidRPr="007B09A0">
        <w:rPr>
          <w:rFonts w:eastAsia="Times New Roman" w:cs="Arial"/>
          <w:color w:val="000000"/>
          <w:lang w:eastAsia="en-GB"/>
        </w:rPr>
        <w:t>If  De</w:t>
      </w:r>
      <w:proofErr w:type="gramEnd"/>
      <w:r w:rsidRPr="007B09A0">
        <w:rPr>
          <w:rFonts w:eastAsia="Times New Roman" w:cs="Arial"/>
          <w:color w:val="000000"/>
          <w:lang w:eastAsia="en-GB"/>
        </w:rPr>
        <w:t xml:space="preserve"> Beers had decided it was worthwhile, it would have invested $60 million in </w:t>
      </w:r>
      <w:proofErr w:type="spellStart"/>
      <w:r w:rsidRPr="007B09A0">
        <w:rPr>
          <w:rFonts w:eastAsia="Times New Roman" w:cs="Arial"/>
          <w:color w:val="000000"/>
          <w:lang w:eastAsia="en-GB"/>
        </w:rPr>
        <w:t>Chidliak</w:t>
      </w:r>
      <w:proofErr w:type="spellEnd"/>
      <w:r w:rsidRPr="007B09A0">
        <w:rPr>
          <w:rFonts w:eastAsia="Times New Roman" w:cs="Arial"/>
          <w:color w:val="000000"/>
          <w:lang w:eastAsia="en-GB"/>
        </w:rPr>
        <w:t xml:space="preserve"> over five years and it would have become the operator of </w:t>
      </w:r>
      <w:proofErr w:type="spellStart"/>
      <w:r w:rsidRPr="007B09A0">
        <w:rPr>
          <w:rFonts w:eastAsia="Times New Roman" w:cs="Arial"/>
          <w:color w:val="000000"/>
          <w:lang w:eastAsia="en-GB"/>
        </w:rPr>
        <w:t>Chidliak</w:t>
      </w:r>
      <w:proofErr w:type="spellEnd"/>
      <w:r w:rsidRPr="007B09A0">
        <w:rPr>
          <w:rFonts w:eastAsia="Times New Roman" w:cs="Arial"/>
          <w:color w:val="000000"/>
          <w:lang w:eastAsia="en-GB"/>
        </w:rPr>
        <w:t>, with a majority interest in the project.</w:t>
      </w:r>
    </w:p>
    <w:p w:rsidR="00E722D1" w:rsidRPr="007B09A0" w:rsidRDefault="00E722D1" w:rsidP="002C6066">
      <w:pPr>
        <w:spacing w:after="0" w:line="240" w:lineRule="auto"/>
        <w:rPr>
          <w:rFonts w:eastAsia="Times New Roman" w:cs="Arial"/>
          <w:color w:val="000000"/>
          <w:lang w:eastAsia="en-GB"/>
        </w:rPr>
      </w:pPr>
    </w:p>
    <w:p w:rsidR="00E722D1" w:rsidRPr="002C6066" w:rsidRDefault="00322870" w:rsidP="002C6066">
      <w:pPr>
        <w:spacing w:after="0" w:line="240" w:lineRule="auto"/>
        <w:rPr>
          <w:rFonts w:eastAsia="Times New Roman" w:cs="Times New Roman"/>
          <w:lang w:eastAsia="en-GB"/>
        </w:rPr>
      </w:pPr>
      <w:r w:rsidRPr="007B09A0">
        <w:rPr>
          <w:rFonts w:eastAsia="Times New Roman" w:cs="Arial"/>
          <w:color w:val="000000"/>
          <w:lang w:eastAsia="en-GB"/>
        </w:rPr>
        <w:t>Another mining giant Rio Tinto also looks to be scaling down prediction, though it has launched a major diamond marketing d</w:t>
      </w:r>
      <w:r w:rsidR="00BD6207" w:rsidRPr="007B09A0">
        <w:rPr>
          <w:rFonts w:eastAsia="Times New Roman" w:cs="Arial"/>
          <w:color w:val="000000"/>
          <w:lang w:eastAsia="en-GB"/>
        </w:rPr>
        <w:t>rive in China</w:t>
      </w:r>
      <w:r w:rsidRPr="007B09A0">
        <w:rPr>
          <w:rFonts w:eastAsia="Times New Roman" w:cs="Arial"/>
          <w:color w:val="000000"/>
          <w:lang w:eastAsia="en-GB"/>
        </w:rPr>
        <w:t xml:space="preserve">. The firm announced in November it was relieving unknown number of contractors of employment at its Argyle mine in </w:t>
      </w:r>
      <w:proofErr w:type="gramStart"/>
      <w:r w:rsidRPr="007B09A0">
        <w:rPr>
          <w:rFonts w:eastAsia="Times New Roman" w:cs="Arial"/>
          <w:color w:val="000000"/>
          <w:lang w:eastAsia="en-GB"/>
        </w:rPr>
        <w:t>western</w:t>
      </w:r>
      <w:proofErr w:type="gramEnd"/>
      <w:r w:rsidRPr="007B09A0">
        <w:rPr>
          <w:rFonts w:eastAsia="Times New Roman" w:cs="Arial"/>
          <w:color w:val="000000"/>
          <w:lang w:eastAsia="en-GB"/>
        </w:rPr>
        <w:t xml:space="preserve"> Australia. The publication </w:t>
      </w:r>
      <w:r w:rsidRPr="007B09A0">
        <w:rPr>
          <w:rFonts w:eastAsia="Times New Roman" w:cs="Arial"/>
          <w:i/>
          <w:color w:val="000000"/>
          <w:lang w:eastAsia="en-GB"/>
        </w:rPr>
        <w:t>The Western Australian</w:t>
      </w:r>
      <w:r w:rsidRPr="007B09A0">
        <w:rPr>
          <w:rFonts w:eastAsia="Times New Roman" w:cs="Arial"/>
          <w:color w:val="000000"/>
          <w:lang w:eastAsia="en-GB"/>
        </w:rPr>
        <w:t xml:space="preserve"> estimates 500 Argyle employees have been let go since September last year.</w:t>
      </w:r>
    </w:p>
    <w:p w:rsidR="002D6A4D" w:rsidRPr="007B09A0" w:rsidRDefault="002D6A4D">
      <w:pPr>
        <w:rPr>
          <w:rFonts w:eastAsia="Times New Roman" w:cs="Times New Roman"/>
          <w:lang w:eastAsia="en-GB"/>
        </w:rPr>
      </w:pPr>
      <w:r w:rsidRPr="007B09A0">
        <w:rPr>
          <w:rFonts w:eastAsia="Times New Roman" w:cs="Times New Roman"/>
          <w:lang w:eastAsia="en-GB"/>
        </w:rPr>
        <w:t xml:space="preserve"> </w:t>
      </w:r>
      <w:r w:rsidR="002C6066" w:rsidRPr="007B09A0">
        <w:rPr>
          <w:rFonts w:eastAsia="Times New Roman" w:cs="Times New Roman"/>
          <w:lang w:eastAsia="en-GB"/>
        </w:rPr>
        <w:br/>
      </w:r>
      <w:r w:rsidR="00BD6207" w:rsidRPr="007B09A0">
        <w:rPr>
          <w:rFonts w:eastAsia="Times New Roman" w:cs="Times New Roman"/>
          <w:lang w:eastAsia="en-GB"/>
        </w:rPr>
        <w:t>Rio Tinto is deploying its current production surfeit from Argyle in its Shanghai marketing campaign, ‘The Fashion of Diamonds</w:t>
      </w:r>
      <w:r w:rsidRPr="007B09A0">
        <w:rPr>
          <w:rFonts w:eastAsia="Times New Roman" w:cs="Times New Roman"/>
          <w:lang w:eastAsia="en-GB"/>
        </w:rPr>
        <w:t xml:space="preserve">’, which Managing Director of Rio Tinto Diamonds described as the “next phase in our China market strategy.” The scheme incorporates 13 jewellery collections and over 90 pieces of diamond jewellery, created in collaboration with local designers </w:t>
      </w:r>
      <w:proofErr w:type="spellStart"/>
      <w:r w:rsidRPr="007B09A0">
        <w:rPr>
          <w:rFonts w:eastAsia="Times New Roman" w:cs="Times New Roman"/>
          <w:lang w:eastAsia="en-GB"/>
        </w:rPr>
        <w:t>Fei</w:t>
      </w:r>
      <w:proofErr w:type="spellEnd"/>
      <w:r w:rsidRPr="007B09A0">
        <w:rPr>
          <w:rFonts w:eastAsia="Times New Roman" w:cs="Times New Roman"/>
          <w:lang w:eastAsia="en-GB"/>
        </w:rPr>
        <w:t xml:space="preserve"> Liu, Huang Chao Yan, </w:t>
      </w:r>
      <w:proofErr w:type="spellStart"/>
      <w:r w:rsidRPr="007B09A0">
        <w:rPr>
          <w:rFonts w:eastAsia="Times New Roman" w:cs="Times New Roman"/>
          <w:lang w:eastAsia="en-GB"/>
        </w:rPr>
        <w:t>Aya</w:t>
      </w:r>
      <w:proofErr w:type="spellEnd"/>
      <w:r w:rsidRPr="007B09A0">
        <w:rPr>
          <w:rFonts w:eastAsia="Times New Roman" w:cs="Times New Roman"/>
          <w:lang w:eastAsia="en-GB"/>
        </w:rPr>
        <w:t xml:space="preserve"> </w:t>
      </w:r>
      <w:proofErr w:type="spellStart"/>
      <w:r w:rsidRPr="007B09A0">
        <w:rPr>
          <w:rFonts w:eastAsia="Times New Roman" w:cs="Times New Roman"/>
          <w:lang w:eastAsia="en-GB"/>
        </w:rPr>
        <w:t>Kamimura</w:t>
      </w:r>
      <w:proofErr w:type="spellEnd"/>
      <w:r w:rsidRPr="007B09A0">
        <w:rPr>
          <w:rFonts w:eastAsia="Times New Roman" w:cs="Times New Roman"/>
          <w:lang w:eastAsia="en-GB"/>
        </w:rPr>
        <w:t xml:space="preserve">, </w:t>
      </w:r>
      <w:proofErr w:type="spellStart"/>
      <w:r w:rsidRPr="007B09A0">
        <w:rPr>
          <w:rFonts w:eastAsia="Times New Roman" w:cs="Times New Roman"/>
          <w:lang w:eastAsia="en-GB"/>
        </w:rPr>
        <w:t>Wen</w:t>
      </w:r>
      <w:proofErr w:type="spellEnd"/>
      <w:r w:rsidRPr="007B09A0">
        <w:rPr>
          <w:rFonts w:eastAsia="Times New Roman" w:cs="Times New Roman"/>
          <w:lang w:eastAsia="en-GB"/>
        </w:rPr>
        <w:t xml:space="preserve"> Wei Tong, and </w:t>
      </w:r>
      <w:proofErr w:type="spellStart"/>
      <w:r w:rsidRPr="007B09A0">
        <w:rPr>
          <w:rFonts w:eastAsia="Times New Roman" w:cs="Times New Roman"/>
          <w:lang w:eastAsia="en-GB"/>
        </w:rPr>
        <w:t>Zhong</w:t>
      </w:r>
      <w:proofErr w:type="spellEnd"/>
      <w:r w:rsidRPr="007B09A0">
        <w:rPr>
          <w:rFonts w:eastAsia="Times New Roman" w:cs="Times New Roman"/>
          <w:lang w:eastAsia="en-GB"/>
        </w:rPr>
        <w:t xml:space="preserve"> </w:t>
      </w:r>
      <w:proofErr w:type="spellStart"/>
      <w:r w:rsidRPr="007B09A0">
        <w:rPr>
          <w:rFonts w:eastAsia="Times New Roman" w:cs="Times New Roman"/>
          <w:lang w:eastAsia="en-GB"/>
        </w:rPr>
        <w:t>Hua</w:t>
      </w:r>
      <w:proofErr w:type="spellEnd"/>
      <w:r w:rsidRPr="007B09A0">
        <w:rPr>
          <w:rFonts w:eastAsia="Times New Roman" w:cs="Times New Roman"/>
          <w:lang w:eastAsia="en-GB"/>
        </w:rPr>
        <w:t>.</w:t>
      </w:r>
    </w:p>
    <w:p w:rsidR="002D6A4D" w:rsidRPr="007B09A0" w:rsidRDefault="002D6A4D">
      <w:pPr>
        <w:rPr>
          <w:rFonts w:eastAsia="Times New Roman" w:cs="Times New Roman"/>
          <w:lang w:eastAsia="en-GB"/>
        </w:rPr>
      </w:pPr>
      <w:r w:rsidRPr="007B09A0">
        <w:rPr>
          <w:rFonts w:eastAsia="Times New Roman" w:cs="Times New Roman"/>
          <w:lang w:eastAsia="en-GB"/>
        </w:rPr>
        <w:t xml:space="preserve">The stated aim was to tap market demand for diamonds but draw on cultural strands rather than make a fetish of the stones themselves. Rita </w:t>
      </w:r>
      <w:proofErr w:type="spellStart"/>
      <w:r w:rsidRPr="007B09A0">
        <w:rPr>
          <w:rFonts w:eastAsia="Times New Roman" w:cs="Times New Roman"/>
          <w:lang w:eastAsia="en-GB"/>
        </w:rPr>
        <w:t>Maltez</w:t>
      </w:r>
      <w:proofErr w:type="spellEnd"/>
      <w:r w:rsidRPr="007B09A0">
        <w:rPr>
          <w:rFonts w:eastAsia="Times New Roman" w:cs="Times New Roman"/>
          <w:lang w:eastAsia="en-GB"/>
        </w:rPr>
        <w:t>, Manager of Rio Tinto Diamond’s Greater China Representative Office, said: “The time is perfect to introduce these stunning new fashion jewellery collections. They are inspired by notions of nature, romance shapes and patterns and are symbolic of a new era… one that will be more design driven than ever.”</w:t>
      </w:r>
    </w:p>
    <w:p w:rsidR="00A744E6" w:rsidRPr="007B09A0" w:rsidRDefault="002D6A4D">
      <w:pPr>
        <w:rPr>
          <w:rFonts w:eastAsia="Times New Roman" w:cs="Times New Roman"/>
          <w:lang w:eastAsia="en-GB"/>
        </w:rPr>
      </w:pPr>
      <w:r w:rsidRPr="007B09A0">
        <w:rPr>
          <w:rFonts w:eastAsia="Times New Roman" w:cs="Times New Roman"/>
          <w:lang w:eastAsia="en-GB"/>
        </w:rPr>
        <w:lastRenderedPageBreak/>
        <w:t xml:space="preserve"> China’s appetite for diamonds </w:t>
      </w:r>
      <w:r w:rsidR="007B09A0" w:rsidRPr="007B09A0">
        <w:rPr>
          <w:rFonts w:eastAsia="Times New Roman" w:cs="Times New Roman"/>
          <w:lang w:eastAsia="en-GB"/>
        </w:rPr>
        <w:t xml:space="preserve">as an unadorned commodity </w:t>
      </w:r>
      <w:r w:rsidRPr="007B09A0">
        <w:rPr>
          <w:rFonts w:eastAsia="Times New Roman" w:cs="Times New Roman"/>
          <w:lang w:eastAsia="en-GB"/>
        </w:rPr>
        <w:t>has been demonstrated by the recent auction in Hong Kong, which set a world record for the highest price a white diamond has fetched</w:t>
      </w:r>
      <w:r w:rsidR="00A744E6" w:rsidRPr="007B09A0">
        <w:rPr>
          <w:rFonts w:eastAsia="Times New Roman" w:cs="Times New Roman"/>
          <w:lang w:eastAsia="en-GB"/>
        </w:rPr>
        <w:t xml:space="preserve"> at auction, at US$30.6million; though the 7.59-carat brilliant-cut, vivid ‘Premier Blue’ stone failed to attract sufficient bids for sale. </w:t>
      </w:r>
    </w:p>
    <w:p w:rsidR="00C71BB2" w:rsidRPr="007B09A0" w:rsidRDefault="00A744E6">
      <w:pPr>
        <w:rPr>
          <w:rFonts w:eastAsia="Times New Roman" w:cs="Times New Roman"/>
          <w:lang w:eastAsia="en-GB"/>
        </w:rPr>
      </w:pPr>
      <w:r w:rsidRPr="007B09A0">
        <w:rPr>
          <w:rFonts w:eastAsia="Times New Roman" w:cs="Times New Roman"/>
          <w:lang w:eastAsia="en-GB"/>
        </w:rPr>
        <w:t xml:space="preserve">Last year, </w:t>
      </w:r>
      <w:r w:rsidR="00E722D1" w:rsidRPr="007B09A0">
        <w:rPr>
          <w:rFonts w:eastAsia="Times New Roman" w:cs="Times New Roman"/>
          <w:lang w:eastAsia="en-GB"/>
        </w:rPr>
        <w:t xml:space="preserve">Bloomberg cited an Anglo-American presentation in November 2012 which stated that Indian and Chinese demand would grow from 20% of the worldwide diamond market in 2012 to 28% in 2016, as the market’s value expands from </w:t>
      </w:r>
      <w:r w:rsidRPr="007B09A0">
        <w:rPr>
          <w:rFonts w:eastAsia="Times New Roman" w:cs="Times New Roman"/>
          <w:lang w:eastAsia="en-GB"/>
        </w:rPr>
        <w:t>US</w:t>
      </w:r>
      <w:r w:rsidR="00E722D1" w:rsidRPr="007B09A0">
        <w:rPr>
          <w:rFonts w:eastAsia="Times New Roman" w:cs="Times New Roman"/>
          <w:lang w:eastAsia="en-GB"/>
        </w:rPr>
        <w:t xml:space="preserve">$23billion to </w:t>
      </w:r>
      <w:r w:rsidRPr="007B09A0">
        <w:rPr>
          <w:rFonts w:eastAsia="Times New Roman" w:cs="Times New Roman"/>
          <w:lang w:eastAsia="en-GB"/>
        </w:rPr>
        <w:t>US</w:t>
      </w:r>
      <w:r w:rsidR="00E722D1" w:rsidRPr="007B09A0">
        <w:rPr>
          <w:rFonts w:eastAsia="Times New Roman" w:cs="Times New Roman"/>
          <w:lang w:eastAsia="en-GB"/>
        </w:rPr>
        <w:t>$31billion.</w:t>
      </w:r>
      <w:r w:rsidRPr="007B09A0">
        <w:rPr>
          <w:rFonts w:eastAsia="Times New Roman" w:cs="Times New Roman"/>
          <w:lang w:eastAsia="en-GB"/>
        </w:rPr>
        <w:t xml:space="preserve">  While China’s taste in diamonds has broadened, in India the market is less robust, with structural difficulties compounding the weak rupee meaning demand is buoyant only for 0.3 and 0.5 carat stones of the lower calibre kind that Russia’s </w:t>
      </w:r>
      <w:proofErr w:type="spellStart"/>
      <w:r w:rsidRPr="007B09A0">
        <w:rPr>
          <w:rFonts w:eastAsia="Times New Roman" w:cs="Times New Roman"/>
          <w:lang w:eastAsia="en-GB"/>
        </w:rPr>
        <w:t>Alrosa</w:t>
      </w:r>
      <w:proofErr w:type="spellEnd"/>
      <w:r w:rsidRPr="007B09A0">
        <w:rPr>
          <w:rFonts w:eastAsia="Times New Roman" w:cs="Times New Roman"/>
          <w:lang w:eastAsia="en-GB"/>
        </w:rPr>
        <w:t xml:space="preserve"> mine is still churning out at volume. </w:t>
      </w:r>
      <w:r w:rsidR="002C6066" w:rsidRPr="007B09A0">
        <w:rPr>
          <w:rFonts w:eastAsia="Times New Roman" w:cs="Times New Roman"/>
          <w:lang w:eastAsia="en-GB"/>
        </w:rPr>
        <w:br/>
      </w:r>
      <w:r w:rsidR="002C6066" w:rsidRPr="007B09A0">
        <w:rPr>
          <w:rFonts w:eastAsia="Times New Roman" w:cs="Times New Roman"/>
          <w:lang w:eastAsia="en-GB"/>
        </w:rPr>
        <w:br/>
      </w:r>
      <w:r w:rsidR="00C71BB2" w:rsidRPr="007B09A0">
        <w:rPr>
          <w:rFonts w:eastAsia="Times New Roman" w:cs="Times New Roman"/>
          <w:lang w:eastAsia="en-GB"/>
        </w:rPr>
        <w:t xml:space="preserve">The trend among developing countries is towards more </w:t>
      </w:r>
      <w:proofErr w:type="spellStart"/>
      <w:r w:rsidR="00C71BB2" w:rsidRPr="007B09A0">
        <w:rPr>
          <w:rFonts w:eastAsia="Times New Roman" w:cs="Times New Roman"/>
          <w:lang w:eastAsia="en-GB"/>
        </w:rPr>
        <w:t>rarified</w:t>
      </w:r>
      <w:proofErr w:type="spellEnd"/>
      <w:r w:rsidR="00C71BB2" w:rsidRPr="007B09A0">
        <w:rPr>
          <w:rFonts w:eastAsia="Times New Roman" w:cs="Times New Roman"/>
          <w:lang w:eastAsia="en-GB"/>
        </w:rPr>
        <w:t xml:space="preserve"> varieties. Michael </w:t>
      </w:r>
      <w:proofErr w:type="spellStart"/>
      <w:r w:rsidR="00C71BB2" w:rsidRPr="007B09A0">
        <w:rPr>
          <w:rFonts w:eastAsia="Times New Roman" w:cs="Times New Roman"/>
          <w:lang w:eastAsia="en-GB"/>
        </w:rPr>
        <w:t>Kazanjian</w:t>
      </w:r>
      <w:proofErr w:type="spellEnd"/>
      <w:r w:rsidR="00C71BB2" w:rsidRPr="007B09A0">
        <w:rPr>
          <w:rFonts w:eastAsia="Times New Roman" w:cs="Times New Roman"/>
          <w:lang w:eastAsia="en-GB"/>
        </w:rPr>
        <w:t xml:space="preserve">, of estate jewellery supplier </w:t>
      </w:r>
      <w:proofErr w:type="spellStart"/>
      <w:r w:rsidR="00C71BB2" w:rsidRPr="007B09A0">
        <w:rPr>
          <w:rFonts w:eastAsia="Times New Roman" w:cs="Times New Roman"/>
          <w:lang w:eastAsia="en-GB"/>
        </w:rPr>
        <w:t>Kazanjian</w:t>
      </w:r>
      <w:proofErr w:type="spellEnd"/>
      <w:r w:rsidR="00C71BB2" w:rsidRPr="007B09A0">
        <w:rPr>
          <w:rFonts w:eastAsia="Times New Roman" w:cs="Times New Roman"/>
          <w:lang w:eastAsia="en-GB"/>
        </w:rPr>
        <w:t xml:space="preserve"> in Beverly Hills, told </w:t>
      </w:r>
      <w:proofErr w:type="spellStart"/>
      <w:r w:rsidR="00C71BB2" w:rsidRPr="007B09A0">
        <w:rPr>
          <w:rFonts w:eastAsia="Times New Roman" w:cs="Times New Roman"/>
          <w:lang w:eastAsia="en-GB"/>
        </w:rPr>
        <w:t>Rapaport</w:t>
      </w:r>
      <w:proofErr w:type="spellEnd"/>
      <w:r w:rsidR="00C71BB2" w:rsidRPr="007B09A0">
        <w:rPr>
          <w:rFonts w:eastAsia="Times New Roman" w:cs="Times New Roman"/>
          <w:lang w:eastAsia="en-GB"/>
        </w:rPr>
        <w:t xml:space="preserve"> magazine in interview that investment-grade diamonds</w:t>
      </w:r>
      <w:r w:rsidR="006631F1" w:rsidRPr="007B09A0">
        <w:rPr>
          <w:rFonts w:eastAsia="Times New Roman" w:cs="Times New Roman"/>
          <w:lang w:eastAsia="en-GB"/>
        </w:rPr>
        <w:t xml:space="preserve">, like the 5.05-carat </w:t>
      </w:r>
      <w:proofErr w:type="spellStart"/>
      <w:r w:rsidR="006631F1" w:rsidRPr="007B09A0">
        <w:rPr>
          <w:rFonts w:eastAsia="Times New Roman" w:cs="Times New Roman"/>
          <w:lang w:eastAsia="en-GB"/>
        </w:rPr>
        <w:t>Kazanjian</w:t>
      </w:r>
      <w:proofErr w:type="spellEnd"/>
      <w:r w:rsidR="006631F1" w:rsidRPr="007B09A0">
        <w:rPr>
          <w:rFonts w:eastAsia="Times New Roman" w:cs="Times New Roman"/>
          <w:lang w:eastAsia="en-GB"/>
        </w:rPr>
        <w:t xml:space="preserve"> red diamond, currently on display at the American Museum of Natural History in New York,</w:t>
      </w:r>
      <w:r w:rsidR="00C71BB2" w:rsidRPr="007B09A0">
        <w:rPr>
          <w:rFonts w:eastAsia="Times New Roman" w:cs="Times New Roman"/>
          <w:lang w:eastAsia="en-GB"/>
        </w:rPr>
        <w:t xml:space="preserve"> were in increasing demand and of growing value:</w:t>
      </w:r>
    </w:p>
    <w:p w:rsidR="002C6066" w:rsidRPr="007B09A0" w:rsidRDefault="00E560AF">
      <w:pPr>
        <w:rPr>
          <w:rFonts w:eastAsia="Times New Roman" w:cs="Times New Roman"/>
          <w:lang w:eastAsia="en-GB"/>
        </w:rPr>
      </w:pPr>
      <w:r>
        <w:rPr>
          <w:rFonts w:eastAsia="Times New Roman" w:cs="Times New Roman"/>
          <w:noProof/>
          <w:lang w:eastAsia="en-GB"/>
        </w:rPr>
        <w:drawing>
          <wp:anchor distT="0" distB="0" distL="114300" distR="114300" simplePos="0" relativeHeight="251658240" behindDoc="0" locked="0" layoutInCell="1" allowOverlap="1">
            <wp:simplePos x="0" y="0"/>
            <wp:positionH relativeFrom="column">
              <wp:posOffset>2679065</wp:posOffset>
            </wp:positionH>
            <wp:positionV relativeFrom="paragraph">
              <wp:posOffset>1785620</wp:posOffset>
            </wp:positionV>
            <wp:extent cx="3919855" cy="2625090"/>
            <wp:effectExtent l="19050" t="0" r="4445" b="0"/>
            <wp:wrapSquare wrapText="bothSides"/>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a:off x="0" y="0"/>
                      <a:ext cx="3919855" cy="2625090"/>
                    </a:xfrm>
                    <a:prstGeom prst="rect">
                      <a:avLst/>
                    </a:prstGeom>
                    <a:noFill/>
                    <a:ln w="9525">
                      <a:noFill/>
                      <a:miter lim="800000"/>
                      <a:headEnd/>
                      <a:tailEnd/>
                    </a:ln>
                  </pic:spPr>
                </pic:pic>
              </a:graphicData>
            </a:graphic>
          </wp:anchor>
        </w:drawing>
      </w:r>
      <w:r w:rsidR="00C71BB2" w:rsidRPr="007B09A0">
        <w:rPr>
          <w:rFonts w:eastAsia="Times New Roman" w:cs="Times New Roman"/>
          <w:lang w:eastAsia="en-GB"/>
        </w:rPr>
        <w:t>“Jewellery is a convertible asset. More and more people are looking at jewels for the value they represent over and above artistic… qualities. There are more people chasing the finer pieces. And this has added a premium to the si</w:t>
      </w:r>
      <w:r w:rsidR="006631F1" w:rsidRPr="007B09A0">
        <w:rPr>
          <w:rFonts w:eastAsia="Times New Roman" w:cs="Times New Roman"/>
          <w:lang w:eastAsia="en-GB"/>
        </w:rPr>
        <w:t>gned jewels and they are harder to find…. One-of-a-kind jewellery with important stones is always desirable, but those pieces are in short supply.”</w:t>
      </w:r>
      <w:r w:rsidR="002C6066" w:rsidRPr="007B09A0">
        <w:rPr>
          <w:rFonts w:eastAsia="Times New Roman" w:cs="Times New Roman"/>
          <w:lang w:eastAsia="en-GB"/>
        </w:rPr>
        <w:br/>
      </w:r>
      <w:r w:rsidR="002C6066" w:rsidRPr="007B09A0">
        <w:rPr>
          <w:rFonts w:eastAsia="Times New Roman" w:cs="Times New Roman"/>
          <w:lang w:eastAsia="en-GB"/>
        </w:rPr>
        <w:br/>
      </w:r>
      <w:r w:rsidR="007B09A0" w:rsidRPr="007B09A0">
        <w:rPr>
          <w:rFonts w:eastAsia="Times New Roman" w:cs="Times New Roman"/>
          <w:lang w:eastAsia="en-GB"/>
        </w:rPr>
        <w:t xml:space="preserve">This was amply demonstrated over two consecutive days at auctions by rival houses Sotheby’s and Christie’s in Geneva, Switzerland, where coloured stones smashed several world records. On November 13, the 59.6-carat ‘Pink Star’ sold at Sotheby’s auction for US$83.2million; the predicted price was US$60million. The ring-mounted Pink Star is the largest flawless pink diamond that the </w:t>
      </w:r>
      <w:proofErr w:type="spellStart"/>
      <w:r w:rsidR="007B09A0" w:rsidRPr="007B09A0">
        <w:rPr>
          <w:rFonts w:eastAsia="Times New Roman" w:cs="Times New Roman"/>
          <w:lang w:eastAsia="en-GB"/>
        </w:rPr>
        <w:t>Gemological</w:t>
      </w:r>
      <w:proofErr w:type="spellEnd"/>
      <w:r w:rsidR="007B09A0" w:rsidRPr="007B09A0">
        <w:rPr>
          <w:rFonts w:eastAsia="Times New Roman" w:cs="Times New Roman"/>
          <w:lang w:eastAsia="en-GB"/>
        </w:rPr>
        <w:t xml:space="preserve"> Institute of America has ever graded.</w:t>
      </w:r>
    </w:p>
    <w:p w:rsidR="007B09A0" w:rsidRDefault="007B09A0">
      <w:pPr>
        <w:rPr>
          <w:rFonts w:eastAsia="Times New Roman" w:cs="Times New Roman"/>
          <w:lang w:eastAsia="en-GB"/>
        </w:rPr>
      </w:pPr>
      <w:r w:rsidRPr="007B09A0">
        <w:rPr>
          <w:rFonts w:eastAsia="Times New Roman" w:cs="Times New Roman"/>
          <w:lang w:eastAsia="en-GB"/>
        </w:rPr>
        <w:t xml:space="preserve">On </w:t>
      </w:r>
      <w:r>
        <w:rPr>
          <w:rFonts w:eastAsia="Times New Roman" w:cs="Times New Roman"/>
          <w:lang w:eastAsia="en-GB"/>
        </w:rPr>
        <w:t>November 14 the world’s largest vivid-orange diamond, a 14.82-carat gem about the size of a finger-tip, broke two world records when it sold at the Christie’s auction, fetching the highest price per carat for any diamond sold at auction, as well as the highest price for an orange diamond. It is classified as ‘fancy vivid’.</w:t>
      </w:r>
    </w:p>
    <w:p w:rsidR="00E560AF" w:rsidRDefault="003C45A7">
      <w:pPr>
        <w:rPr>
          <w:rFonts w:eastAsia="Times New Roman" w:cs="Times New Roman"/>
          <w:lang w:eastAsia="en-GB"/>
        </w:rPr>
      </w:pPr>
      <w:r>
        <w:rPr>
          <w:rFonts w:eastAsia="Times New Roman" w:cs="Times New Roman"/>
          <w:lang w:eastAsia="en-GB"/>
        </w:rPr>
        <w:t xml:space="preserve">Despite the evident role of auction-houses in provoking competitive bidding for rare stones, they are only one of the vendors operating in this </w:t>
      </w:r>
      <w:proofErr w:type="gramStart"/>
      <w:r>
        <w:rPr>
          <w:rFonts w:eastAsia="Times New Roman" w:cs="Times New Roman"/>
          <w:lang w:eastAsia="en-GB"/>
        </w:rPr>
        <w:t>market</w:t>
      </w:r>
      <w:proofErr w:type="gramEnd"/>
      <w:r>
        <w:rPr>
          <w:rFonts w:eastAsia="Times New Roman" w:cs="Times New Roman"/>
          <w:lang w:eastAsia="en-GB"/>
        </w:rPr>
        <w:t>. Those sales which do not reach the headlines operate in private circles within a tight network of interested parties.</w:t>
      </w:r>
      <w:r w:rsidR="00E560AF">
        <w:rPr>
          <w:rFonts w:eastAsia="Times New Roman" w:cs="Times New Roman"/>
          <w:lang w:eastAsia="en-GB"/>
        </w:rPr>
        <w:t xml:space="preserve"> Introductions lead to negotiations, which lead to further negotiations. It has been consistently proven that these exclusive personal connections are a higher guarantee of added value than sales in the public forum.</w:t>
      </w:r>
    </w:p>
    <w:p w:rsidR="001D648F" w:rsidRDefault="003C45A7">
      <w:pPr>
        <w:rPr>
          <w:rFonts w:eastAsia="Times New Roman" w:cs="Times New Roman"/>
          <w:lang w:eastAsia="en-GB"/>
        </w:rPr>
      </w:pPr>
      <w:r>
        <w:rPr>
          <w:rFonts w:eastAsia="Times New Roman" w:cs="Times New Roman"/>
          <w:lang w:eastAsia="en-GB"/>
        </w:rPr>
        <w:t xml:space="preserve"> </w:t>
      </w:r>
      <w:proofErr w:type="spellStart"/>
      <w:r w:rsidR="001D648F">
        <w:rPr>
          <w:rFonts w:eastAsia="Times New Roman" w:cs="Times New Roman"/>
          <w:lang w:eastAsia="en-GB"/>
        </w:rPr>
        <w:t>Devanx’s</w:t>
      </w:r>
      <w:proofErr w:type="spellEnd"/>
      <w:r w:rsidR="001D648F">
        <w:rPr>
          <w:rFonts w:eastAsia="Times New Roman" w:cs="Times New Roman"/>
          <w:lang w:eastAsia="en-GB"/>
        </w:rPr>
        <w:t xml:space="preserve"> transaction fee of 3-5% covers these soft skills, as well as the cost of physical storage and handling fees. Taxation outlays are optimised by transacting in Zurich duty free zones, however transactions can also be made in Hong Kong and New York. The handling fees which range from </w:t>
      </w:r>
      <w:r w:rsidR="001D648F">
        <w:rPr>
          <w:rFonts w:eastAsia="Times New Roman" w:cs="Times New Roman"/>
          <w:lang w:eastAsia="en-GB"/>
        </w:rPr>
        <w:lastRenderedPageBreak/>
        <w:t xml:space="preserve">0.91-2% reflect the deal’s geographical location. Alternatively, the investor can choose to customize the handling process for their hard asset, and orchestrate a different investment jurisdiction. Whatever makes you feel most comfortable, we will do our best to accommodate. </w:t>
      </w:r>
    </w:p>
    <w:p w:rsidR="003C45A7" w:rsidRPr="007B09A0" w:rsidRDefault="001D648F">
      <w:pPr>
        <w:rPr>
          <w:rFonts w:eastAsia="Times New Roman" w:cs="Times New Roman"/>
          <w:lang w:eastAsia="en-GB"/>
        </w:rPr>
      </w:pPr>
      <w:r>
        <w:rPr>
          <w:rFonts w:eastAsia="Times New Roman" w:cs="Times New Roman"/>
          <w:lang w:eastAsia="en-GB"/>
        </w:rPr>
        <w:t>Diamonds stored in the vault of</w:t>
      </w:r>
      <w:r w:rsidR="003C45A7">
        <w:rPr>
          <w:rFonts w:eastAsia="Times New Roman" w:cs="Times New Roman"/>
          <w:lang w:eastAsia="en-GB"/>
        </w:rPr>
        <w:t xml:space="preserve"> </w:t>
      </w:r>
      <w:proofErr w:type="spellStart"/>
      <w:r w:rsidR="003C45A7">
        <w:rPr>
          <w:rFonts w:eastAsia="Times New Roman" w:cs="Times New Roman"/>
          <w:lang w:eastAsia="en-GB"/>
        </w:rPr>
        <w:t>DeVanx’s</w:t>
      </w:r>
      <w:proofErr w:type="spellEnd"/>
      <w:r w:rsidR="003C45A7">
        <w:rPr>
          <w:rFonts w:eastAsia="Times New Roman" w:cs="Times New Roman"/>
          <w:lang w:eastAsia="en-GB"/>
        </w:rPr>
        <w:t xml:space="preserve"> Custodian Bank UBS are highly secured. The Transaction Bank </w:t>
      </w:r>
      <w:proofErr w:type="spellStart"/>
      <w:r w:rsidR="003C45A7">
        <w:rPr>
          <w:rFonts w:eastAsia="Times New Roman" w:cs="Times New Roman"/>
          <w:lang w:eastAsia="en-GB"/>
        </w:rPr>
        <w:t>Malca</w:t>
      </w:r>
      <w:proofErr w:type="spellEnd"/>
      <w:r w:rsidR="003C45A7">
        <w:rPr>
          <w:rFonts w:eastAsia="Times New Roman" w:cs="Times New Roman"/>
          <w:lang w:eastAsia="en-GB"/>
        </w:rPr>
        <w:t xml:space="preserve"> </w:t>
      </w:r>
      <w:proofErr w:type="spellStart"/>
      <w:r w:rsidR="003C45A7">
        <w:rPr>
          <w:rFonts w:eastAsia="Times New Roman" w:cs="Times New Roman"/>
          <w:lang w:eastAsia="en-GB"/>
        </w:rPr>
        <w:t>Amit</w:t>
      </w:r>
      <w:proofErr w:type="spellEnd"/>
      <w:r w:rsidR="003C45A7">
        <w:rPr>
          <w:rFonts w:eastAsia="Times New Roman" w:cs="Times New Roman"/>
          <w:lang w:eastAsia="en-GB"/>
        </w:rPr>
        <w:t xml:space="preserve"> oversees processing and transport of the assets, and has considerable experienc</w:t>
      </w:r>
      <w:r w:rsidR="00873348">
        <w:rPr>
          <w:rFonts w:eastAsia="Times New Roman" w:cs="Times New Roman"/>
          <w:lang w:eastAsia="en-GB"/>
        </w:rPr>
        <w:t xml:space="preserve">e in this vocation. It has just finalised China’s largest </w:t>
      </w:r>
      <w:r w:rsidR="00873348" w:rsidRPr="00873348">
        <w:rPr>
          <w:rFonts w:eastAsia="Times New Roman" w:cs="Times New Roman"/>
          <w:lang w:eastAsia="en-GB"/>
        </w:rPr>
        <w:t>privately owned state-of-the-ar</w:t>
      </w:r>
      <w:r w:rsidR="00873348">
        <w:rPr>
          <w:rFonts w:eastAsia="Times New Roman" w:cs="Times New Roman"/>
          <w:lang w:eastAsia="en-GB"/>
        </w:rPr>
        <w:t>t secured storage facilities, details on which are naturally closely guarded. Armoured vehicles and tracking devices come as standard.</w:t>
      </w:r>
    </w:p>
    <w:p w:rsidR="002C6066" w:rsidRPr="007B09A0" w:rsidRDefault="002C6066"/>
    <w:p w:rsidR="002C6066" w:rsidRPr="007B09A0" w:rsidRDefault="002C6066"/>
    <w:p w:rsidR="002C6066" w:rsidRPr="002C6066" w:rsidRDefault="002C6066" w:rsidP="002C6066">
      <w:pPr>
        <w:spacing w:after="240" w:line="240" w:lineRule="auto"/>
        <w:rPr>
          <w:rFonts w:ascii="Times New Roman" w:eastAsia="Times New Roman" w:hAnsi="Times New Roman" w:cs="Times New Roman"/>
          <w:lang w:eastAsia="en-GB"/>
        </w:rPr>
      </w:pPr>
    </w:p>
    <w:sectPr w:rsidR="002C6066" w:rsidRPr="002C6066" w:rsidSect="00E52D6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8B7" w:rsidRDefault="00BF78B7" w:rsidP="002C6066">
      <w:pPr>
        <w:spacing w:after="0" w:line="240" w:lineRule="auto"/>
      </w:pPr>
      <w:r>
        <w:separator/>
      </w:r>
    </w:p>
  </w:endnote>
  <w:endnote w:type="continuationSeparator" w:id="0">
    <w:p w:rsidR="00BF78B7" w:rsidRDefault="00BF78B7" w:rsidP="002C6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8B7" w:rsidRDefault="00BF78B7" w:rsidP="002C6066">
      <w:pPr>
        <w:spacing w:after="0" w:line="240" w:lineRule="auto"/>
      </w:pPr>
      <w:r>
        <w:separator/>
      </w:r>
    </w:p>
  </w:footnote>
  <w:footnote w:type="continuationSeparator" w:id="0">
    <w:p w:rsidR="00BF78B7" w:rsidRDefault="00BF78B7" w:rsidP="002C60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C6066"/>
    <w:rsid w:val="001D648F"/>
    <w:rsid w:val="002C6066"/>
    <w:rsid w:val="002D6A4D"/>
    <w:rsid w:val="00322870"/>
    <w:rsid w:val="003C45A7"/>
    <w:rsid w:val="006631F1"/>
    <w:rsid w:val="006B69FF"/>
    <w:rsid w:val="007B09A0"/>
    <w:rsid w:val="00873348"/>
    <w:rsid w:val="00A744E6"/>
    <w:rsid w:val="00A84530"/>
    <w:rsid w:val="00AB25B8"/>
    <w:rsid w:val="00AE53FB"/>
    <w:rsid w:val="00B6604B"/>
    <w:rsid w:val="00BD6207"/>
    <w:rsid w:val="00BF78B7"/>
    <w:rsid w:val="00C71BB2"/>
    <w:rsid w:val="00D116D7"/>
    <w:rsid w:val="00D5094F"/>
    <w:rsid w:val="00E443CE"/>
    <w:rsid w:val="00E52D69"/>
    <w:rsid w:val="00E560AF"/>
    <w:rsid w:val="00E722D1"/>
    <w:rsid w:val="00E83D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D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0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C60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066"/>
    <w:rPr>
      <w:sz w:val="20"/>
      <w:szCs w:val="20"/>
    </w:rPr>
  </w:style>
  <w:style w:type="character" w:styleId="FootnoteReference">
    <w:name w:val="footnote reference"/>
    <w:basedOn w:val="DefaultParagraphFont"/>
    <w:uiPriority w:val="99"/>
    <w:semiHidden/>
    <w:unhideWhenUsed/>
    <w:rsid w:val="002C6066"/>
    <w:rPr>
      <w:vertAlign w:val="superscript"/>
    </w:rPr>
  </w:style>
  <w:style w:type="paragraph" w:styleId="BalloonText">
    <w:name w:val="Balloon Text"/>
    <w:basedOn w:val="Normal"/>
    <w:link w:val="BalloonTextChar"/>
    <w:uiPriority w:val="99"/>
    <w:semiHidden/>
    <w:unhideWhenUsed/>
    <w:rsid w:val="00AE5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3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2654114">
      <w:bodyDiv w:val="1"/>
      <w:marLeft w:val="0"/>
      <w:marRight w:val="0"/>
      <w:marTop w:val="0"/>
      <w:marBottom w:val="0"/>
      <w:divBdr>
        <w:top w:val="none" w:sz="0" w:space="0" w:color="auto"/>
        <w:left w:val="none" w:sz="0" w:space="0" w:color="auto"/>
        <w:bottom w:val="none" w:sz="0" w:space="0" w:color="auto"/>
        <w:right w:val="none" w:sz="0" w:space="0" w:color="auto"/>
      </w:divBdr>
    </w:div>
    <w:div w:id="123465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JessKing1311</dc:creator>
  <cp:lastModifiedBy>JessKing1311</cp:lastModifiedBy>
  <cp:revision>15</cp:revision>
  <dcterms:created xsi:type="dcterms:W3CDTF">2013-11-27T13:13:00Z</dcterms:created>
  <dcterms:modified xsi:type="dcterms:W3CDTF">2013-11-27T14:56:00Z</dcterms:modified>
</cp:coreProperties>
</file>